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6B82" w14:textId="31D45B15" w:rsidR="007C2D71" w:rsidRDefault="007C2D71" w:rsidP="6C8E5991">
      <w:pPr>
        <w:pStyle w:val="Default"/>
        <w:rPr>
          <w:rFonts w:ascii="Verdana" w:hAnsi="Verdana"/>
          <w:b/>
          <w:bCs/>
        </w:rPr>
      </w:pPr>
    </w:p>
    <w:p w14:paraId="0CA5D233" w14:textId="0A3CF647" w:rsidR="538F0138" w:rsidRDefault="538F0138" w:rsidP="6C8E5991">
      <w:pPr>
        <w:pStyle w:val="Default"/>
        <w:rPr>
          <w:rFonts w:ascii="Verdana" w:hAnsi="Verdana"/>
          <w:b/>
          <w:bCs/>
        </w:rPr>
      </w:pPr>
      <w:r w:rsidRPr="6C8E5991">
        <w:rPr>
          <w:rFonts w:ascii="Verdana" w:hAnsi="Verdana"/>
          <w:b/>
          <w:bCs/>
        </w:rPr>
        <w:t>Annex 1:</w:t>
      </w:r>
    </w:p>
    <w:p w14:paraId="4CEDA352" w14:textId="7A2A7FCF" w:rsidR="6C8E5991" w:rsidRDefault="6C8E5991" w:rsidP="6C8E5991">
      <w:pPr>
        <w:pStyle w:val="Default"/>
        <w:rPr>
          <w:rFonts w:ascii="Verdana" w:hAnsi="Verdana"/>
          <w:b/>
          <w:bCs/>
        </w:rPr>
      </w:pPr>
    </w:p>
    <w:p w14:paraId="77A18B40" w14:textId="6B878607" w:rsidR="42C7FD0C" w:rsidRPr="00CD34E3" w:rsidRDefault="3A5898DB" w:rsidP="4DD7198F">
      <w:pPr>
        <w:pStyle w:val="Default"/>
        <w:rPr>
          <w:rFonts w:ascii="Verdana" w:hAnsi="Verdana"/>
          <w:b/>
          <w:bCs/>
        </w:rPr>
      </w:pPr>
      <w:r w:rsidRPr="6C8E5991">
        <w:rPr>
          <w:rFonts w:ascii="Verdana" w:hAnsi="Verdana"/>
          <w:b/>
          <w:bCs/>
        </w:rPr>
        <w:t xml:space="preserve">UK BCR Requirements Table </w:t>
      </w:r>
      <w:r w:rsidR="00A93634">
        <w:rPr>
          <w:rFonts w:ascii="Verdana" w:hAnsi="Verdana"/>
          <w:b/>
          <w:bCs/>
        </w:rPr>
        <w:t xml:space="preserve">- </w:t>
      </w:r>
      <w:r w:rsidR="27F86CA5" w:rsidRPr="6C8E5991">
        <w:rPr>
          <w:rFonts w:ascii="Verdana" w:hAnsi="Verdana"/>
          <w:b/>
          <w:bCs/>
        </w:rPr>
        <w:t>transitioning an</w:t>
      </w:r>
      <w:r w:rsidR="695DE6A4" w:rsidRPr="6C8E5991">
        <w:rPr>
          <w:rFonts w:ascii="Verdana" w:hAnsi="Verdana"/>
          <w:b/>
          <w:bCs/>
        </w:rPr>
        <w:t xml:space="preserve"> existing EU BCR to UK BCR </w:t>
      </w:r>
    </w:p>
    <w:p w14:paraId="63AC3107" w14:textId="6883FD60" w:rsidR="063E4A92" w:rsidRPr="00CD34E3" w:rsidRDefault="063E4A92" w:rsidP="063E4A92">
      <w:pPr>
        <w:pStyle w:val="Default"/>
        <w:rPr>
          <w:rFonts w:ascii="Verdana" w:hAnsi="Verdana"/>
          <w:highlight w:val="yellow"/>
        </w:rPr>
      </w:pPr>
    </w:p>
    <w:p w14:paraId="55816592" w14:textId="366FE3C1" w:rsidR="2DF35E8B" w:rsidRPr="00CD34E3" w:rsidRDefault="2DF35E8B" w:rsidP="063E4A92">
      <w:pPr>
        <w:pStyle w:val="Default"/>
        <w:rPr>
          <w:rFonts w:ascii="Verdana" w:hAnsi="Verdana"/>
        </w:rPr>
      </w:pPr>
      <w:r w:rsidRPr="6C8E5991">
        <w:rPr>
          <w:rFonts w:ascii="Verdana" w:hAnsi="Verdana"/>
        </w:rPr>
        <w:t xml:space="preserve">The UK left the EU on the 31 January 2020 and the </w:t>
      </w:r>
      <w:r w:rsidR="7F0920E4" w:rsidRPr="6C8E5991">
        <w:rPr>
          <w:rFonts w:ascii="Verdana" w:hAnsi="Verdana"/>
        </w:rPr>
        <w:t>transition</w:t>
      </w:r>
      <w:r w:rsidR="7E77D85D" w:rsidRPr="6C8E5991">
        <w:rPr>
          <w:rFonts w:ascii="Verdana" w:hAnsi="Verdana"/>
        </w:rPr>
        <w:t xml:space="preserve"> </w:t>
      </w:r>
      <w:r w:rsidR="7F0920E4" w:rsidRPr="6C8E5991">
        <w:rPr>
          <w:rFonts w:ascii="Verdana" w:hAnsi="Verdana"/>
        </w:rPr>
        <w:t xml:space="preserve">period </w:t>
      </w:r>
      <w:r w:rsidR="1119041E" w:rsidRPr="6C8E5991">
        <w:rPr>
          <w:rFonts w:ascii="Verdana" w:hAnsi="Verdana"/>
        </w:rPr>
        <w:t>is due to end on 31 December 2020.  From 1 Jan</w:t>
      </w:r>
      <w:r w:rsidR="2F03F10C" w:rsidRPr="6C8E5991">
        <w:rPr>
          <w:rFonts w:ascii="Verdana" w:hAnsi="Verdana"/>
        </w:rPr>
        <w:t>uary 2021, organisations can no longer rely on the</w:t>
      </w:r>
      <w:r w:rsidR="461ACADE" w:rsidRPr="6C8E5991">
        <w:rPr>
          <w:rFonts w:ascii="Verdana" w:hAnsi="Verdana"/>
        </w:rPr>
        <w:t>ir</w:t>
      </w:r>
      <w:r w:rsidR="2F03F10C" w:rsidRPr="6C8E5991">
        <w:rPr>
          <w:rFonts w:ascii="Verdana" w:hAnsi="Verdana"/>
        </w:rPr>
        <w:t xml:space="preserve"> EU </w:t>
      </w:r>
      <w:r w:rsidR="3FE82E2F" w:rsidRPr="6C8E5991">
        <w:rPr>
          <w:rFonts w:ascii="Verdana" w:hAnsi="Verdana"/>
        </w:rPr>
        <w:t xml:space="preserve">BCRs </w:t>
      </w:r>
      <w:r w:rsidR="06A8AB7C" w:rsidRPr="6C8E5991">
        <w:rPr>
          <w:rFonts w:ascii="Verdana" w:hAnsi="Verdana"/>
        </w:rPr>
        <w:t>(Controller</w:t>
      </w:r>
      <w:r w:rsidR="00B20F5C" w:rsidRPr="6C8E5991">
        <w:rPr>
          <w:rFonts w:ascii="Verdana" w:hAnsi="Verdana"/>
        </w:rPr>
        <w:t xml:space="preserve"> and Processor</w:t>
      </w:r>
      <w:r w:rsidR="00B00FD3" w:rsidRPr="6C8E5991">
        <w:rPr>
          <w:rFonts w:ascii="Verdana" w:hAnsi="Verdana"/>
        </w:rPr>
        <w:t xml:space="preserve">) as an appropriate safeguard for international </w:t>
      </w:r>
      <w:r w:rsidR="6D42B862" w:rsidRPr="6C8E5991">
        <w:rPr>
          <w:rFonts w:ascii="Verdana" w:hAnsi="Verdana"/>
        </w:rPr>
        <w:t xml:space="preserve">data </w:t>
      </w:r>
      <w:r w:rsidR="00B00FD3" w:rsidRPr="6C8E5991">
        <w:rPr>
          <w:rFonts w:ascii="Verdana" w:hAnsi="Verdana"/>
        </w:rPr>
        <w:t xml:space="preserve">transfers from the </w:t>
      </w:r>
      <w:r w:rsidR="6EE8A0CD" w:rsidRPr="6C8E5991">
        <w:rPr>
          <w:rFonts w:ascii="Verdana" w:hAnsi="Verdana"/>
        </w:rPr>
        <w:t>UK.</w:t>
      </w:r>
    </w:p>
    <w:p w14:paraId="5D12C8DC" w14:textId="59E22CDF" w:rsidR="6EE8A0CD" w:rsidRPr="00CD34E3" w:rsidRDefault="6EE8A0CD" w:rsidP="063E4A92">
      <w:pPr>
        <w:pStyle w:val="Default"/>
        <w:rPr>
          <w:rFonts w:ascii="Verdana" w:hAnsi="Verdana"/>
        </w:rPr>
      </w:pPr>
    </w:p>
    <w:p w14:paraId="426B6E59" w14:textId="5D3015E7" w:rsidR="00B00FD3" w:rsidRPr="00CD34E3" w:rsidRDefault="01A02029" w:rsidP="063E4A92">
      <w:pPr>
        <w:pStyle w:val="Default"/>
        <w:rPr>
          <w:rFonts w:ascii="Verdana" w:hAnsi="Verdana"/>
        </w:rPr>
      </w:pPr>
      <w:r w:rsidRPr="077C6266">
        <w:rPr>
          <w:rFonts w:ascii="Verdana" w:hAnsi="Verdana"/>
        </w:rPr>
        <w:t xml:space="preserve">If holders of EU BCRs require a UK version of </w:t>
      </w:r>
      <w:r w:rsidR="564D72A5" w:rsidRPr="077C6266">
        <w:rPr>
          <w:rFonts w:ascii="Verdana" w:hAnsi="Verdana"/>
        </w:rPr>
        <w:t xml:space="preserve">their </w:t>
      </w:r>
      <w:r w:rsidRPr="077C6266">
        <w:rPr>
          <w:rFonts w:ascii="Verdana" w:hAnsi="Verdana"/>
        </w:rPr>
        <w:t xml:space="preserve">BCRs in order to continue transferring data, </w:t>
      </w:r>
      <w:r w:rsidR="5BB724F6" w:rsidRPr="077C6266">
        <w:rPr>
          <w:rFonts w:ascii="Verdana" w:hAnsi="Verdana"/>
        </w:rPr>
        <w:t xml:space="preserve">organisations </w:t>
      </w:r>
      <w:r w:rsidR="7E0E532A" w:rsidRPr="077C6266">
        <w:rPr>
          <w:rFonts w:ascii="Verdana" w:hAnsi="Verdana"/>
        </w:rPr>
        <w:t>must produce</w:t>
      </w:r>
      <w:r w:rsidR="6976D9D9" w:rsidRPr="077C6266">
        <w:rPr>
          <w:rFonts w:ascii="Verdana" w:hAnsi="Verdana"/>
        </w:rPr>
        <w:t xml:space="preserve"> a </w:t>
      </w:r>
      <w:r w:rsidR="6152BA19" w:rsidRPr="077C6266">
        <w:rPr>
          <w:rFonts w:ascii="Verdana" w:hAnsi="Verdana"/>
        </w:rPr>
        <w:t xml:space="preserve">standalone </w:t>
      </w:r>
      <w:r w:rsidR="6976D9D9" w:rsidRPr="077C6266">
        <w:rPr>
          <w:rFonts w:ascii="Verdana" w:hAnsi="Verdana"/>
        </w:rPr>
        <w:t>UK version</w:t>
      </w:r>
      <w:r w:rsidR="30E9AC3A" w:rsidRPr="077C6266">
        <w:rPr>
          <w:rFonts w:ascii="Verdana" w:hAnsi="Verdana"/>
        </w:rPr>
        <w:t xml:space="preserve"> of their BCRs</w:t>
      </w:r>
      <w:r w:rsidR="6976D9D9" w:rsidRPr="077C6266">
        <w:rPr>
          <w:rFonts w:ascii="Verdana" w:hAnsi="Verdana"/>
        </w:rPr>
        <w:t>.  The table</w:t>
      </w:r>
      <w:r w:rsidR="42569D1C" w:rsidRPr="077C6266">
        <w:rPr>
          <w:rFonts w:ascii="Verdana" w:hAnsi="Verdana"/>
        </w:rPr>
        <w:t xml:space="preserve"> and list</w:t>
      </w:r>
      <w:r w:rsidR="6976D9D9" w:rsidRPr="077C6266">
        <w:rPr>
          <w:rFonts w:ascii="Verdana" w:hAnsi="Verdana"/>
        </w:rPr>
        <w:t xml:space="preserve"> below set out the </w:t>
      </w:r>
      <w:r w:rsidR="2C444D20" w:rsidRPr="077C6266">
        <w:rPr>
          <w:rFonts w:ascii="Verdana" w:hAnsi="Verdana"/>
        </w:rPr>
        <w:t xml:space="preserve">expected </w:t>
      </w:r>
      <w:r w:rsidR="749280F6" w:rsidRPr="077C6266">
        <w:rPr>
          <w:rFonts w:ascii="Verdana" w:hAnsi="Verdana"/>
        </w:rPr>
        <w:t xml:space="preserve">minimum mandatory changes from the current EU BCRs </w:t>
      </w:r>
      <w:r w:rsidR="25B9E8F0" w:rsidRPr="077C6266">
        <w:rPr>
          <w:rFonts w:ascii="Verdana" w:hAnsi="Verdana"/>
        </w:rPr>
        <w:t>for</w:t>
      </w:r>
      <w:r w:rsidR="15F08D31" w:rsidRPr="077C6266">
        <w:rPr>
          <w:rFonts w:ascii="Verdana" w:hAnsi="Verdana"/>
        </w:rPr>
        <w:t xml:space="preserve"> a UK BCR</w:t>
      </w:r>
      <w:r w:rsidR="00040EBB">
        <w:rPr>
          <w:rFonts w:ascii="Verdana" w:hAnsi="Verdana"/>
        </w:rPr>
        <w:t>,</w:t>
      </w:r>
      <w:r w:rsidR="23421DC3" w:rsidRPr="077C6266">
        <w:rPr>
          <w:rFonts w:ascii="Verdana" w:hAnsi="Verdana"/>
        </w:rPr>
        <w:t xml:space="preserve"> together with additional information required by </w:t>
      </w:r>
      <w:r w:rsidR="2FA70C12" w:rsidRPr="077C6266">
        <w:rPr>
          <w:rFonts w:ascii="Verdana" w:hAnsi="Verdana"/>
        </w:rPr>
        <w:t>the</w:t>
      </w:r>
      <w:r w:rsidR="559BF0FF" w:rsidRPr="077C6266">
        <w:rPr>
          <w:rFonts w:ascii="Verdana" w:hAnsi="Verdana"/>
        </w:rPr>
        <w:t xml:space="preserve"> Information</w:t>
      </w:r>
      <w:r w:rsidR="2FA70C12" w:rsidRPr="077C6266">
        <w:rPr>
          <w:rFonts w:ascii="Verdana" w:hAnsi="Verdana"/>
        </w:rPr>
        <w:t xml:space="preserve"> Commissioner</w:t>
      </w:r>
      <w:r w:rsidR="23421DC3" w:rsidRPr="077C6266">
        <w:rPr>
          <w:rFonts w:ascii="Verdana" w:hAnsi="Verdana"/>
        </w:rPr>
        <w:t xml:space="preserve"> to assess </w:t>
      </w:r>
      <w:r w:rsidR="5B806C90" w:rsidRPr="077C6266">
        <w:rPr>
          <w:rFonts w:ascii="Verdana" w:hAnsi="Verdana"/>
        </w:rPr>
        <w:t>the UK BCR</w:t>
      </w:r>
      <w:r w:rsidR="6707D3F7" w:rsidRPr="077C6266">
        <w:rPr>
          <w:rFonts w:ascii="Verdana" w:hAnsi="Verdana"/>
        </w:rPr>
        <w:t>.</w:t>
      </w:r>
    </w:p>
    <w:p w14:paraId="32B72197" w14:textId="693B9C0C" w:rsidR="00F32032" w:rsidRPr="00CD34E3" w:rsidRDefault="00F32032" w:rsidP="02FACC7B">
      <w:pPr>
        <w:pStyle w:val="Default"/>
        <w:rPr>
          <w:rFonts w:ascii="Verdana" w:hAnsi="Verdana"/>
        </w:rPr>
      </w:pPr>
      <w:r w:rsidRPr="02FACC7B">
        <w:rPr>
          <w:rFonts w:ascii="Verdana" w:hAnsi="Verdana"/>
        </w:rPr>
        <w:t xml:space="preserve"> </w:t>
      </w:r>
    </w:p>
    <w:p w14:paraId="48852664" w14:textId="26393AEE" w:rsidR="02FACC7B" w:rsidRDefault="00F32032" w:rsidP="02FACC7B">
      <w:pPr>
        <w:pStyle w:val="Default"/>
        <w:rPr>
          <w:rFonts w:ascii="Verdana" w:hAnsi="Verdana"/>
        </w:rPr>
      </w:pPr>
      <w:r w:rsidRPr="077C6266">
        <w:rPr>
          <w:rFonts w:ascii="Verdana" w:hAnsi="Verdana"/>
        </w:rPr>
        <w:t>In addition to the elements outlined in the table below</w:t>
      </w:r>
      <w:r w:rsidR="32D33AB7" w:rsidRPr="077C6266">
        <w:rPr>
          <w:rFonts w:ascii="Verdana" w:hAnsi="Verdana"/>
        </w:rPr>
        <w:t>,</w:t>
      </w:r>
      <w:r w:rsidR="2F17CBDC" w:rsidRPr="077C6266">
        <w:rPr>
          <w:rFonts w:ascii="Verdana" w:hAnsi="Verdana"/>
        </w:rPr>
        <w:t xml:space="preserve"> a</w:t>
      </w:r>
      <w:r w:rsidR="5616DC40" w:rsidRPr="077C6266">
        <w:rPr>
          <w:rFonts w:ascii="Verdana" w:hAnsi="Verdana"/>
        </w:rPr>
        <w:t>ny inclusion</w:t>
      </w:r>
      <w:r w:rsidR="570A5648" w:rsidRPr="077C6266">
        <w:rPr>
          <w:rFonts w:ascii="Verdana" w:hAnsi="Verdana"/>
        </w:rPr>
        <w:t xml:space="preserve"> of a UK entity within</w:t>
      </w:r>
      <w:r w:rsidRPr="077C6266">
        <w:rPr>
          <w:rFonts w:ascii="Verdana" w:hAnsi="Verdana"/>
        </w:rPr>
        <w:t xml:space="preserve"> </w:t>
      </w:r>
      <w:r w:rsidR="22878048" w:rsidRPr="077C6266">
        <w:rPr>
          <w:rFonts w:ascii="Verdana" w:hAnsi="Verdana"/>
        </w:rPr>
        <w:t xml:space="preserve">the definition of </w:t>
      </w:r>
      <w:r w:rsidRPr="077C6266">
        <w:rPr>
          <w:rFonts w:ascii="Verdana" w:hAnsi="Verdana"/>
        </w:rPr>
        <w:t>EEA entities</w:t>
      </w:r>
      <w:r w:rsidR="45265521" w:rsidRPr="077C6266">
        <w:rPr>
          <w:rFonts w:ascii="Verdana" w:hAnsi="Verdana"/>
        </w:rPr>
        <w:t xml:space="preserve"> should be removed</w:t>
      </w:r>
      <w:r w:rsidR="1335A9F1" w:rsidRPr="077C6266">
        <w:rPr>
          <w:rFonts w:ascii="Verdana" w:hAnsi="Verdana"/>
        </w:rPr>
        <w:t>.</w:t>
      </w:r>
      <w:r w:rsidR="45265521" w:rsidRPr="077C6266">
        <w:rPr>
          <w:rFonts w:ascii="Verdana" w:hAnsi="Verdana"/>
        </w:rPr>
        <w:t xml:space="preserve"> </w:t>
      </w:r>
      <w:r w:rsidR="69B52153" w:rsidRPr="077C6266">
        <w:rPr>
          <w:rFonts w:ascii="Verdana" w:hAnsi="Verdana"/>
        </w:rPr>
        <w:t xml:space="preserve"> Where </w:t>
      </w:r>
      <w:r w:rsidR="7C64B25D" w:rsidRPr="077C6266">
        <w:rPr>
          <w:rFonts w:ascii="Verdana" w:hAnsi="Verdana"/>
        </w:rPr>
        <w:t>previously</w:t>
      </w:r>
      <w:r w:rsidR="69B52153" w:rsidRPr="077C6266">
        <w:rPr>
          <w:rFonts w:ascii="Verdana" w:hAnsi="Verdana"/>
        </w:rPr>
        <w:t xml:space="preserve"> the UK was included in r</w:t>
      </w:r>
      <w:r w:rsidR="4E9C3445" w:rsidRPr="077C6266">
        <w:rPr>
          <w:rFonts w:ascii="Verdana" w:hAnsi="Verdana"/>
        </w:rPr>
        <w:t>e</w:t>
      </w:r>
      <w:r w:rsidR="45265521" w:rsidRPr="077C6266">
        <w:rPr>
          <w:rFonts w:ascii="Verdana" w:hAnsi="Verdana"/>
        </w:rPr>
        <w:t xml:space="preserve">ferences </w:t>
      </w:r>
      <w:r w:rsidR="38EE7824" w:rsidRPr="077C6266">
        <w:rPr>
          <w:rFonts w:ascii="Verdana" w:hAnsi="Verdana"/>
        </w:rPr>
        <w:t>to EEA</w:t>
      </w:r>
      <w:r w:rsidR="4C41B4C4" w:rsidRPr="077C6266">
        <w:rPr>
          <w:rFonts w:ascii="Verdana" w:hAnsi="Verdana"/>
        </w:rPr>
        <w:t xml:space="preserve"> </w:t>
      </w:r>
      <w:r w:rsidRPr="077C6266">
        <w:rPr>
          <w:rFonts w:ascii="Verdana" w:hAnsi="Verdana"/>
        </w:rPr>
        <w:t>applicable law</w:t>
      </w:r>
      <w:r w:rsidR="4F2DA8F8" w:rsidRPr="077C6266">
        <w:rPr>
          <w:rFonts w:ascii="Verdana" w:hAnsi="Verdana"/>
        </w:rPr>
        <w:t xml:space="preserve">, these </w:t>
      </w:r>
      <w:r w:rsidR="79A6B4E6" w:rsidRPr="077C6266">
        <w:rPr>
          <w:rFonts w:ascii="Verdana" w:hAnsi="Verdana"/>
        </w:rPr>
        <w:t>should also be removed</w:t>
      </w:r>
      <w:r w:rsidR="625DB40E" w:rsidRPr="077C6266">
        <w:rPr>
          <w:rFonts w:ascii="Verdana" w:hAnsi="Verdana"/>
        </w:rPr>
        <w:t xml:space="preserve">. These changes should be reflected in </w:t>
      </w:r>
      <w:r w:rsidR="1CD2EA00" w:rsidRPr="077C6266">
        <w:rPr>
          <w:rFonts w:ascii="Verdana" w:hAnsi="Verdana"/>
        </w:rPr>
        <w:t>both BCRs</w:t>
      </w:r>
      <w:r w:rsidR="42C7FD0C" w:rsidRPr="077C6266">
        <w:rPr>
          <w:rFonts w:ascii="Verdana" w:hAnsi="Verdana"/>
        </w:rPr>
        <w:t xml:space="preserve"> for controllers (“BCR-C”) and BCR for processors (“BCR-P”)</w:t>
      </w:r>
      <w:r w:rsidR="5B4E7F13" w:rsidRPr="077C6266">
        <w:rPr>
          <w:rFonts w:ascii="Verdana" w:hAnsi="Verdana"/>
        </w:rPr>
        <w:t xml:space="preserve">. </w:t>
      </w:r>
    </w:p>
    <w:p w14:paraId="70985E75" w14:textId="48F335E1" w:rsidR="6C8E5991" w:rsidRDefault="6C8E5991" w:rsidP="6C8E5991">
      <w:pPr>
        <w:pStyle w:val="Default"/>
        <w:rPr>
          <w:rFonts w:ascii="Verdana" w:hAnsi="Verdana"/>
        </w:rPr>
      </w:pPr>
    </w:p>
    <w:p w14:paraId="20A9C40E" w14:textId="3D5045E3" w:rsidR="00F32032" w:rsidRPr="00CD34E3" w:rsidRDefault="609EB97B" w:rsidP="02FACC7B">
      <w:pPr>
        <w:pStyle w:val="Default"/>
        <w:rPr>
          <w:rFonts w:ascii="Verdana" w:hAnsi="Verdana"/>
        </w:rPr>
      </w:pPr>
      <w:r w:rsidRPr="6C8E5991">
        <w:rPr>
          <w:rFonts w:ascii="Verdana" w:hAnsi="Verdana"/>
        </w:rPr>
        <w:t>I</w:t>
      </w:r>
      <w:r w:rsidR="00F32032" w:rsidRPr="6C8E5991">
        <w:rPr>
          <w:rFonts w:ascii="Verdana" w:hAnsi="Verdana"/>
        </w:rPr>
        <w:t xml:space="preserve">n the specific case of BCR-P, </w:t>
      </w:r>
      <w:r w:rsidR="74FFC24B" w:rsidRPr="6C8E5991">
        <w:rPr>
          <w:rFonts w:ascii="Verdana" w:hAnsi="Verdana"/>
        </w:rPr>
        <w:t>consideration may</w:t>
      </w:r>
      <w:r w:rsidR="1ECCCFA0" w:rsidRPr="6C8E5991">
        <w:rPr>
          <w:rFonts w:ascii="Verdana" w:hAnsi="Verdana"/>
        </w:rPr>
        <w:t xml:space="preserve"> </w:t>
      </w:r>
      <w:r w:rsidR="00F32032" w:rsidRPr="6C8E5991">
        <w:rPr>
          <w:rFonts w:ascii="Verdana" w:hAnsi="Verdana"/>
        </w:rPr>
        <w:t>need</w:t>
      </w:r>
      <w:r w:rsidR="6554F6A8" w:rsidRPr="6C8E5991">
        <w:rPr>
          <w:rFonts w:ascii="Verdana" w:hAnsi="Verdana"/>
        </w:rPr>
        <w:t xml:space="preserve"> </w:t>
      </w:r>
      <w:r w:rsidR="00F32032" w:rsidRPr="6C8E5991">
        <w:rPr>
          <w:rFonts w:ascii="Verdana" w:hAnsi="Verdana"/>
        </w:rPr>
        <w:t xml:space="preserve">to </w:t>
      </w:r>
      <w:r w:rsidR="0EB2FC58" w:rsidRPr="6C8E5991">
        <w:rPr>
          <w:rFonts w:ascii="Verdana" w:hAnsi="Verdana"/>
        </w:rPr>
        <w:t xml:space="preserve">be given to </w:t>
      </w:r>
      <w:r w:rsidR="764F4953" w:rsidRPr="6C8E5991">
        <w:rPr>
          <w:rFonts w:ascii="Verdana" w:hAnsi="Verdana"/>
        </w:rPr>
        <w:t>r</w:t>
      </w:r>
      <w:r w:rsidR="00F32032" w:rsidRPr="6C8E5991">
        <w:rPr>
          <w:rFonts w:ascii="Verdana" w:hAnsi="Verdana"/>
        </w:rPr>
        <w:t>e-word</w:t>
      </w:r>
      <w:r w:rsidR="417EC4C4" w:rsidRPr="6C8E5991">
        <w:rPr>
          <w:rFonts w:ascii="Verdana" w:hAnsi="Verdana"/>
        </w:rPr>
        <w:t xml:space="preserve">ing </w:t>
      </w:r>
      <w:r w:rsidR="523D8E6F" w:rsidRPr="6C8E5991">
        <w:rPr>
          <w:rFonts w:ascii="Verdana" w:hAnsi="Verdana"/>
        </w:rPr>
        <w:t xml:space="preserve">the </w:t>
      </w:r>
      <w:r w:rsidR="00F32032" w:rsidRPr="6C8E5991">
        <w:rPr>
          <w:rFonts w:ascii="Verdana" w:hAnsi="Verdana"/>
        </w:rPr>
        <w:t>Service Level Agreement</w:t>
      </w:r>
      <w:r w:rsidR="68A9CB60" w:rsidRPr="6C8E5991">
        <w:rPr>
          <w:rFonts w:ascii="Verdana" w:hAnsi="Verdana"/>
        </w:rPr>
        <w:t xml:space="preserve"> </w:t>
      </w:r>
      <w:r w:rsidR="0A8599CD" w:rsidRPr="6C8E5991">
        <w:rPr>
          <w:rFonts w:ascii="Verdana" w:hAnsi="Verdana"/>
        </w:rPr>
        <w:t>(</w:t>
      </w:r>
      <w:r w:rsidR="330BA138" w:rsidRPr="6C8E5991">
        <w:rPr>
          <w:rFonts w:ascii="Verdana" w:hAnsi="Verdana"/>
        </w:rPr>
        <w:t>“</w:t>
      </w:r>
      <w:r w:rsidR="00F32032" w:rsidRPr="6C8E5991">
        <w:rPr>
          <w:rFonts w:ascii="Verdana" w:hAnsi="Verdana"/>
        </w:rPr>
        <w:t>SLA</w:t>
      </w:r>
      <w:r w:rsidR="6959C654" w:rsidRPr="6C8E5991">
        <w:rPr>
          <w:rFonts w:ascii="Verdana" w:hAnsi="Verdana"/>
        </w:rPr>
        <w:t>”) between</w:t>
      </w:r>
      <w:r w:rsidR="6DC10482" w:rsidRPr="6C8E5991">
        <w:rPr>
          <w:rFonts w:ascii="Verdana" w:hAnsi="Verdana"/>
        </w:rPr>
        <w:t xml:space="preserve"> Controllers and </w:t>
      </w:r>
      <w:r w:rsidR="6C957260" w:rsidRPr="6C8E5991">
        <w:rPr>
          <w:rFonts w:ascii="Verdana" w:hAnsi="Verdana"/>
        </w:rPr>
        <w:t>Processors as</w:t>
      </w:r>
      <w:r w:rsidR="6CAADBD8" w:rsidRPr="6C8E5991">
        <w:rPr>
          <w:rFonts w:ascii="Verdana" w:hAnsi="Verdana"/>
        </w:rPr>
        <w:t xml:space="preserve"> a result </w:t>
      </w:r>
      <w:r w:rsidR="0B09CBEF" w:rsidRPr="6C8E5991">
        <w:rPr>
          <w:rFonts w:ascii="Verdana" w:hAnsi="Verdana"/>
        </w:rPr>
        <w:t>of the</w:t>
      </w:r>
      <w:r w:rsidR="6CAADBD8" w:rsidRPr="6C8E5991">
        <w:rPr>
          <w:rFonts w:ascii="Verdana" w:hAnsi="Verdana"/>
        </w:rPr>
        <w:t xml:space="preserve"> end of the transition period. </w:t>
      </w:r>
    </w:p>
    <w:p w14:paraId="144892BA" w14:textId="0C5A7047" w:rsidR="6C8E5991" w:rsidRDefault="6C8E5991" w:rsidP="6C8E5991">
      <w:pPr>
        <w:pStyle w:val="Default"/>
        <w:rPr>
          <w:rFonts w:ascii="Verdana" w:hAnsi="Verdana"/>
        </w:rPr>
      </w:pPr>
    </w:p>
    <w:p w14:paraId="0AA429E3" w14:textId="374C96CC" w:rsidR="00F32032" w:rsidRPr="00CD34E3" w:rsidRDefault="16530FDB" w:rsidP="00F32032">
      <w:pPr>
        <w:pStyle w:val="Default"/>
        <w:rPr>
          <w:rFonts w:ascii="Verdana" w:hAnsi="Verdana"/>
        </w:rPr>
      </w:pPr>
      <w:r w:rsidRPr="6C8E5991">
        <w:rPr>
          <w:rFonts w:ascii="Verdana" w:hAnsi="Verdana"/>
        </w:rPr>
        <w:t xml:space="preserve">References in the table below </w:t>
      </w:r>
      <w:r w:rsidR="06CFAD76" w:rsidRPr="6C8E5991">
        <w:rPr>
          <w:rFonts w:ascii="Verdana" w:hAnsi="Verdana"/>
        </w:rPr>
        <w:t>to the criteria c</w:t>
      </w:r>
      <w:r w:rsidRPr="6C8E5991">
        <w:rPr>
          <w:rFonts w:ascii="Verdana" w:hAnsi="Verdana"/>
        </w:rPr>
        <w:t xml:space="preserve">orrespond to existing </w:t>
      </w:r>
      <w:r w:rsidR="1A72394C" w:rsidRPr="6C8E5991">
        <w:rPr>
          <w:rFonts w:ascii="Verdana" w:hAnsi="Verdana"/>
        </w:rPr>
        <w:t xml:space="preserve">EDPB </w:t>
      </w:r>
      <w:r w:rsidR="6C88B672" w:rsidRPr="6C8E5991">
        <w:rPr>
          <w:rFonts w:ascii="Verdana" w:hAnsi="Verdana"/>
        </w:rPr>
        <w:t>WP256 and WP257 publications</w:t>
      </w:r>
      <w:r w:rsidR="62A440C9" w:rsidRPr="6C8E5991">
        <w:rPr>
          <w:rFonts w:ascii="Verdana" w:hAnsi="Verdana"/>
        </w:rPr>
        <w:t>. References to GDPR correspond to the UK GDPR (as amended).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70"/>
        <w:gridCol w:w="1769"/>
        <w:gridCol w:w="1831"/>
        <w:gridCol w:w="1519"/>
        <w:gridCol w:w="4535"/>
        <w:gridCol w:w="2224"/>
      </w:tblGrid>
      <w:tr w:rsidR="00175696" w:rsidRPr="00CD34E3" w14:paraId="730D1078" w14:textId="77777777" w:rsidTr="077C6266">
        <w:trPr>
          <w:tblHeader/>
        </w:trPr>
        <w:tc>
          <w:tcPr>
            <w:tcW w:w="2070" w:type="dxa"/>
          </w:tcPr>
          <w:p w14:paraId="31D9835F" w14:textId="4F988D55" w:rsidR="00F32032" w:rsidRPr="00CD34E3" w:rsidRDefault="00F32032" w:rsidP="063E4A92">
            <w:pPr>
              <w:pStyle w:val="Default"/>
              <w:rPr>
                <w:rFonts w:ascii="Verdana" w:hAnsi="Verdana"/>
                <w:b/>
                <w:bCs/>
              </w:rPr>
            </w:pPr>
            <w:r w:rsidRPr="02FACC7B">
              <w:rPr>
                <w:rFonts w:ascii="Verdana" w:hAnsi="Verdana"/>
                <w:b/>
                <w:bCs/>
              </w:rPr>
              <w:lastRenderedPageBreak/>
              <w:t>Criteria for</w:t>
            </w:r>
            <w:r w:rsidR="31BFC85F" w:rsidRPr="02FACC7B">
              <w:rPr>
                <w:rFonts w:ascii="Verdana" w:hAnsi="Verdana"/>
                <w:b/>
                <w:bCs/>
              </w:rPr>
              <w:t xml:space="preserve"> </w:t>
            </w:r>
            <w:r w:rsidRPr="02FACC7B">
              <w:rPr>
                <w:rFonts w:ascii="Verdana" w:hAnsi="Verdana"/>
                <w:b/>
                <w:bCs/>
              </w:rPr>
              <w:t>a</w:t>
            </w:r>
            <w:r w:rsidR="3CEAF03C" w:rsidRPr="02FACC7B">
              <w:rPr>
                <w:rFonts w:ascii="Verdana" w:hAnsi="Verdana"/>
                <w:b/>
                <w:bCs/>
              </w:rPr>
              <w:t xml:space="preserve"> UK</w:t>
            </w:r>
            <w:r w:rsidRPr="02FACC7B">
              <w:rPr>
                <w:rFonts w:ascii="Verdana" w:hAnsi="Verdana"/>
                <w:b/>
                <w:bCs/>
              </w:rPr>
              <w:t xml:space="preserve"> BCR </w:t>
            </w:r>
            <w:r w:rsidR="3CEAF03C" w:rsidRPr="02FACC7B">
              <w:rPr>
                <w:rFonts w:ascii="Verdana" w:hAnsi="Verdana"/>
                <w:b/>
                <w:bCs/>
              </w:rPr>
              <w:t xml:space="preserve">required </w:t>
            </w:r>
            <w:r w:rsidR="4BCC06EF" w:rsidRPr="02FACC7B">
              <w:rPr>
                <w:rFonts w:ascii="Verdana" w:hAnsi="Verdana"/>
                <w:b/>
                <w:bCs/>
              </w:rPr>
              <w:t>changes from</w:t>
            </w:r>
            <w:r w:rsidR="3CEAF03C" w:rsidRPr="02FACC7B">
              <w:rPr>
                <w:rFonts w:ascii="Verdana" w:hAnsi="Verdana"/>
                <w:b/>
                <w:bCs/>
              </w:rPr>
              <w:t xml:space="preserve"> EU BCR </w:t>
            </w:r>
          </w:p>
        </w:tc>
        <w:tc>
          <w:tcPr>
            <w:tcW w:w="1769" w:type="dxa"/>
          </w:tcPr>
          <w:p w14:paraId="0091AB08" w14:textId="23B17F68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In the BCRs</w:t>
            </w:r>
          </w:p>
        </w:tc>
        <w:tc>
          <w:tcPr>
            <w:tcW w:w="1831" w:type="dxa"/>
          </w:tcPr>
          <w:p w14:paraId="6F5B0B60" w14:textId="6645BFC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  <w:b/>
                <w:bCs/>
              </w:rPr>
              <w:t xml:space="preserve">In the application form </w:t>
            </w:r>
          </w:p>
        </w:tc>
        <w:tc>
          <w:tcPr>
            <w:tcW w:w="1519" w:type="dxa"/>
          </w:tcPr>
          <w:p w14:paraId="12D047EE" w14:textId="3A0B1C56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Text of reference</w:t>
            </w:r>
          </w:p>
        </w:tc>
        <w:tc>
          <w:tcPr>
            <w:tcW w:w="4535" w:type="dxa"/>
          </w:tcPr>
          <w:p w14:paraId="5B64439C" w14:textId="55CBEB72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Comments</w:t>
            </w:r>
          </w:p>
        </w:tc>
        <w:tc>
          <w:tcPr>
            <w:tcW w:w="2224" w:type="dxa"/>
          </w:tcPr>
          <w:p w14:paraId="3082A2D2" w14:textId="6723A4B8" w:rsidR="00F32032" w:rsidRPr="00CD34E3" w:rsidRDefault="00F32032" w:rsidP="6C8E5991">
            <w:pPr>
              <w:pStyle w:val="Default"/>
              <w:rPr>
                <w:rFonts w:ascii="Verdana" w:hAnsi="Verdana"/>
                <w:b/>
                <w:bCs/>
              </w:rPr>
            </w:pPr>
            <w:r w:rsidRPr="6C8E5991">
              <w:rPr>
                <w:rFonts w:ascii="Verdana" w:hAnsi="Verdana"/>
                <w:b/>
                <w:bCs/>
              </w:rPr>
              <w:t xml:space="preserve">Reference to application form / </w:t>
            </w:r>
            <w:r w:rsidR="18D94DDB" w:rsidRPr="6C8E5991">
              <w:rPr>
                <w:rFonts w:ascii="Verdana" w:hAnsi="Verdana"/>
                <w:b/>
                <w:bCs/>
              </w:rPr>
              <w:t xml:space="preserve">UK </w:t>
            </w:r>
            <w:r w:rsidRPr="6C8E5991">
              <w:rPr>
                <w:rFonts w:ascii="Verdana" w:hAnsi="Verdana"/>
                <w:b/>
                <w:bCs/>
              </w:rPr>
              <w:t xml:space="preserve">BCRs </w:t>
            </w:r>
            <w:r w:rsidR="3C975F9F" w:rsidRPr="6C8E5991">
              <w:rPr>
                <w:rFonts w:ascii="Verdana" w:hAnsi="Verdana"/>
                <w:b/>
                <w:bCs/>
              </w:rPr>
              <w:t>[for organisations to complete]</w:t>
            </w:r>
          </w:p>
        </w:tc>
      </w:tr>
      <w:tr w:rsidR="00E608F5" w:rsidRPr="00CD34E3" w14:paraId="0150E5D0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6D7AD668" w14:textId="5A4BC655" w:rsidR="00E608F5" w:rsidRPr="00CD34E3" w:rsidRDefault="00E608F5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1. BINDING NATURE</w:t>
            </w:r>
          </w:p>
        </w:tc>
      </w:tr>
      <w:tr w:rsidR="00175696" w:rsidRPr="00CD34E3" w14:paraId="217CBA01" w14:textId="77777777" w:rsidTr="077C6266">
        <w:tc>
          <w:tcPr>
            <w:tcW w:w="2070" w:type="dxa"/>
          </w:tcPr>
          <w:p w14:paraId="178D1775" w14:textId="0D750DFB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1.2 An explanation of how the rules are made binding on the BCR members of the Group of undertakings / enterprises and also the employees</w:t>
            </w:r>
            <w:r w:rsidR="0808F1A0" w:rsidRPr="6C8E5991">
              <w:rPr>
                <w:rFonts w:ascii="Verdana" w:hAnsi="Verdana"/>
              </w:rPr>
              <w:t>.</w:t>
            </w:r>
          </w:p>
        </w:tc>
        <w:tc>
          <w:tcPr>
            <w:tcW w:w="1769" w:type="dxa"/>
          </w:tcPr>
          <w:p w14:paraId="4AF8AA7B" w14:textId="684E51CD" w:rsidR="00F32032" w:rsidRPr="00CD34E3" w:rsidRDefault="26D238B4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 xml:space="preserve">NO </w:t>
            </w:r>
          </w:p>
          <w:p w14:paraId="1AC9B481" w14:textId="1DA7B73E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831" w:type="dxa"/>
          </w:tcPr>
          <w:p w14:paraId="66C08339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YES </w:t>
            </w:r>
          </w:p>
          <w:p w14:paraId="10DC26E6" w14:textId="0828775C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  <w:p w14:paraId="471E8567" w14:textId="4F6CBFBD" w:rsidR="00BB07D1" w:rsidRPr="00CD34E3" w:rsidRDefault="00BB07D1" w:rsidP="00EB33B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78F09C04" w14:textId="739AED90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47.1.a and 47.2.c </w:t>
            </w:r>
            <w:r w:rsidR="45002318" w:rsidRPr="00CD34E3">
              <w:rPr>
                <w:rFonts w:ascii="Verdana" w:hAnsi="Verdana"/>
              </w:rPr>
              <w:t>UK</w:t>
            </w:r>
            <w:r w:rsidR="48245431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</w:tc>
        <w:tc>
          <w:tcPr>
            <w:tcW w:w="4535" w:type="dxa"/>
          </w:tcPr>
          <w:p w14:paraId="01F0976C" w14:textId="6E923781" w:rsidR="00F32032" w:rsidRPr="00CD34E3" w:rsidRDefault="00F32032" w:rsidP="006251FD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 xml:space="preserve">Duty of the Group of undertakings / enterprises to arrange internal matters in order to ensure that the BCRs will be binding throughout </w:t>
            </w:r>
            <w:r w:rsidR="6CBD2770" w:rsidRPr="0B47653E">
              <w:rPr>
                <w:rFonts w:ascii="Verdana" w:hAnsi="Verdana"/>
              </w:rPr>
              <w:t>the UK</w:t>
            </w:r>
            <w:r w:rsidRPr="0B47653E">
              <w:rPr>
                <w:rFonts w:ascii="Verdana" w:hAnsi="Verdana"/>
              </w:rPr>
              <w:t xml:space="preserve">, </w:t>
            </w:r>
            <w:r w:rsidR="62FE74DB" w:rsidRPr="0B47653E">
              <w:rPr>
                <w:rFonts w:ascii="Verdana" w:hAnsi="Verdana"/>
              </w:rPr>
              <w:t>e.g.</w:t>
            </w:r>
            <w:r w:rsidRPr="0B47653E">
              <w:rPr>
                <w:rFonts w:ascii="Verdana" w:hAnsi="Verdana"/>
              </w:rPr>
              <w:t xml:space="preserve"> replace any reference to the ‘BCR applicant in </w:t>
            </w:r>
            <w:r w:rsidR="012C9F27" w:rsidRPr="0B47653E">
              <w:rPr>
                <w:rFonts w:ascii="Verdana" w:hAnsi="Verdana"/>
              </w:rPr>
              <w:t>the EEA</w:t>
            </w:r>
            <w:r w:rsidRPr="0B47653E">
              <w:rPr>
                <w:rFonts w:ascii="Verdana" w:hAnsi="Verdana"/>
              </w:rPr>
              <w:t xml:space="preserve">’ with the ‘BCR applicant in the </w:t>
            </w:r>
            <w:r w:rsidR="41E7A120" w:rsidRPr="0B47653E">
              <w:rPr>
                <w:rFonts w:ascii="Verdana" w:hAnsi="Verdana"/>
              </w:rPr>
              <w:t>UK</w:t>
            </w:r>
            <w:r w:rsidRPr="0B47653E">
              <w:rPr>
                <w:rFonts w:ascii="Verdana" w:hAnsi="Verdana"/>
              </w:rPr>
              <w:t xml:space="preserve">’. </w:t>
            </w:r>
          </w:p>
          <w:p w14:paraId="7B54DDE5" w14:textId="6B75DAAE" w:rsidR="00F32032" w:rsidRPr="00CD34E3" w:rsidRDefault="00F32032" w:rsidP="063E4A92">
            <w:pPr>
              <w:pStyle w:val="Default"/>
              <w:ind w:left="720"/>
              <w:rPr>
                <w:rFonts w:ascii="Verdana" w:hAnsi="Verdana"/>
              </w:rPr>
            </w:pPr>
          </w:p>
          <w:p w14:paraId="67C21267" w14:textId="0BAC67D0" w:rsidR="00F32032" w:rsidRPr="00CD34E3" w:rsidRDefault="00F32032" w:rsidP="00F32032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 xml:space="preserve">In the legal instrument used to make the BCR binding, replace any reference to the ‘contract law (in the </w:t>
            </w:r>
            <w:r w:rsidR="20C60F85" w:rsidRPr="0B47653E">
              <w:rPr>
                <w:rFonts w:ascii="Verdana" w:hAnsi="Verdana"/>
              </w:rPr>
              <w:t>EEA</w:t>
            </w:r>
            <w:r w:rsidRPr="0B47653E">
              <w:rPr>
                <w:rFonts w:ascii="Verdana" w:hAnsi="Verdana"/>
              </w:rPr>
              <w:t xml:space="preserve">)’ </w:t>
            </w:r>
            <w:r w:rsidR="015ADA63" w:rsidRPr="0B47653E">
              <w:rPr>
                <w:rFonts w:ascii="Verdana" w:hAnsi="Verdana"/>
              </w:rPr>
              <w:t xml:space="preserve">to </w:t>
            </w:r>
            <w:r w:rsidR="2D1A1C57" w:rsidRPr="0B47653E">
              <w:rPr>
                <w:rFonts w:ascii="Verdana" w:hAnsi="Verdana"/>
              </w:rPr>
              <w:t>‘</w:t>
            </w:r>
            <w:r w:rsidR="2D52D6D1" w:rsidRPr="0B47653E">
              <w:rPr>
                <w:rFonts w:ascii="Verdana" w:hAnsi="Verdana"/>
              </w:rPr>
              <w:t>contract law in the UK</w:t>
            </w:r>
            <w:r w:rsidR="3DD7D928" w:rsidRPr="0B47653E">
              <w:rPr>
                <w:rFonts w:ascii="Verdana" w:hAnsi="Verdana"/>
              </w:rPr>
              <w:t>’</w:t>
            </w:r>
            <w:r w:rsidR="2D52D6D1" w:rsidRPr="0B47653E">
              <w:rPr>
                <w:rFonts w:ascii="Verdana" w:hAnsi="Verdana"/>
              </w:rPr>
              <w:t xml:space="preserve">. </w:t>
            </w:r>
            <w:r w:rsidRPr="0B47653E">
              <w:rPr>
                <w:rFonts w:ascii="Verdana" w:hAnsi="Verdana"/>
              </w:rPr>
              <w:t xml:space="preserve"> </w:t>
            </w:r>
          </w:p>
          <w:p w14:paraId="620F50FB" w14:textId="77777777" w:rsidR="00F32032" w:rsidRPr="00CD34E3" w:rsidRDefault="00F32032" w:rsidP="00096B5D">
            <w:pPr>
              <w:pStyle w:val="Default"/>
              <w:rPr>
                <w:rFonts w:ascii="Verdana" w:hAnsi="Verdana"/>
              </w:rPr>
            </w:pPr>
          </w:p>
          <w:p w14:paraId="344A3EB3" w14:textId="77777777" w:rsidR="007C2D71" w:rsidRDefault="00F32032" w:rsidP="6C8E5991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 xml:space="preserve">Request the </w:t>
            </w:r>
            <w:r w:rsidR="2EB345EF" w:rsidRPr="0B47653E">
              <w:rPr>
                <w:rFonts w:ascii="Verdana" w:hAnsi="Verdana"/>
              </w:rPr>
              <w:t>g</w:t>
            </w:r>
            <w:r w:rsidRPr="0B47653E">
              <w:rPr>
                <w:rFonts w:ascii="Verdana" w:hAnsi="Verdana"/>
              </w:rPr>
              <w:t xml:space="preserve">roup of undertakings / enterprises to amend/update all the documents linked to the BCR, </w:t>
            </w:r>
          </w:p>
          <w:p w14:paraId="1F54277B" w14:textId="77777777" w:rsidR="007C2D71" w:rsidRDefault="007C2D71" w:rsidP="007C2D71">
            <w:pPr>
              <w:pStyle w:val="ListParagraph"/>
              <w:rPr>
                <w:rFonts w:ascii="Verdana" w:hAnsi="Verdana"/>
              </w:rPr>
            </w:pPr>
          </w:p>
          <w:p w14:paraId="419E34A6" w14:textId="72D01889" w:rsidR="00F32032" w:rsidRPr="00CD34E3" w:rsidRDefault="00F32032" w:rsidP="6C8E5991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lastRenderedPageBreak/>
              <w:t xml:space="preserve">especially the chosen legally binding measures (e.g. IGA). </w:t>
            </w:r>
          </w:p>
        </w:tc>
        <w:tc>
          <w:tcPr>
            <w:tcW w:w="2224" w:type="dxa"/>
          </w:tcPr>
          <w:p w14:paraId="6D568D0F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F32032" w:rsidRPr="00CD34E3" w14:paraId="01C1FB76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03AFC066" w14:textId="17A077CF" w:rsidR="004E579A" w:rsidRPr="004E579A" w:rsidRDefault="00F32032" w:rsidP="00F32032">
            <w:pPr>
              <w:pStyle w:val="Default"/>
              <w:rPr>
                <w:rFonts w:ascii="Verdana" w:hAnsi="Verdana"/>
                <w:b/>
                <w:bCs/>
              </w:rPr>
            </w:pPr>
            <w:r w:rsidRPr="00CD34E3">
              <w:rPr>
                <w:rFonts w:ascii="Verdana" w:hAnsi="Verdana"/>
                <w:b/>
                <w:bCs/>
              </w:rPr>
              <w:t xml:space="preserve">EXTERNALLY </w:t>
            </w:r>
          </w:p>
        </w:tc>
      </w:tr>
      <w:tr w:rsidR="00175696" w:rsidRPr="00CD34E3" w14:paraId="5A0AA38B" w14:textId="77777777" w:rsidTr="077C6266">
        <w:tc>
          <w:tcPr>
            <w:tcW w:w="2070" w:type="dxa"/>
          </w:tcPr>
          <w:p w14:paraId="2D8D5268" w14:textId="695349A1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1.3 The creation of third-party beneficiary rights for data subjects</w:t>
            </w:r>
            <w:r w:rsidR="3CB88B00" w:rsidRPr="6C8E5991">
              <w:rPr>
                <w:rFonts w:ascii="Verdana" w:hAnsi="Verdana"/>
              </w:rPr>
              <w:t xml:space="preserve"> i</w:t>
            </w:r>
            <w:r w:rsidRPr="6C8E5991">
              <w:rPr>
                <w:rFonts w:ascii="Verdana" w:hAnsi="Verdana"/>
              </w:rPr>
              <w:t xml:space="preserve">ncluding the possibility to lodge a complaint before the </w:t>
            </w:r>
            <w:r w:rsidR="00175696">
              <w:rPr>
                <w:rFonts w:ascii="Verdana" w:hAnsi="Verdana"/>
              </w:rPr>
              <w:t xml:space="preserve">Information </w:t>
            </w:r>
            <w:r w:rsidR="05FF5E28" w:rsidRPr="6C8E5991">
              <w:rPr>
                <w:rFonts w:ascii="Verdana" w:hAnsi="Verdana"/>
              </w:rPr>
              <w:t>Commissioner and</w:t>
            </w:r>
            <w:r w:rsidRPr="6C8E5991">
              <w:rPr>
                <w:rFonts w:ascii="Verdana" w:hAnsi="Verdana"/>
              </w:rPr>
              <w:t xml:space="preserve"> before the </w:t>
            </w:r>
            <w:r w:rsidR="788D62CD" w:rsidRPr="6C8E5991">
              <w:rPr>
                <w:rFonts w:ascii="Verdana" w:hAnsi="Verdana"/>
              </w:rPr>
              <w:t xml:space="preserve">UK </w:t>
            </w:r>
            <w:r w:rsidRPr="6C8E5991">
              <w:rPr>
                <w:rFonts w:ascii="Verdana" w:hAnsi="Verdana"/>
              </w:rPr>
              <w:t>courts</w:t>
            </w:r>
            <w:r w:rsidR="788D62CD" w:rsidRPr="6C8E5991">
              <w:rPr>
                <w:rFonts w:ascii="Verdana" w:hAnsi="Verdana"/>
              </w:rPr>
              <w:t>.</w:t>
            </w:r>
            <w:r w:rsidRPr="6C8E5991">
              <w:rPr>
                <w:rFonts w:ascii="Verdana" w:hAnsi="Verdana"/>
              </w:rPr>
              <w:t xml:space="preserve"> </w:t>
            </w:r>
          </w:p>
          <w:p w14:paraId="09D89099" w14:textId="4FB9BD83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542FEFEF" w14:textId="72D88B64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5FB0F778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19D72886" w14:textId="77777777" w:rsidR="00B1507A" w:rsidRPr="00CD34E3" w:rsidRDefault="00B1507A" w:rsidP="00F32032">
            <w:pPr>
              <w:pStyle w:val="Default"/>
              <w:rPr>
                <w:rFonts w:ascii="Verdana" w:hAnsi="Verdana"/>
              </w:rPr>
            </w:pPr>
          </w:p>
          <w:p w14:paraId="4E14970E" w14:textId="17A8D04E" w:rsidR="00B1507A" w:rsidRPr="00CD34E3" w:rsidRDefault="00B1507A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55F25E21" w14:textId="14EF96C3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47.1.b and 47.2.c, 47.2.e </w:t>
            </w:r>
            <w:r w:rsidR="2B42E7F3" w:rsidRPr="00CD34E3">
              <w:rPr>
                <w:rFonts w:ascii="Verdana" w:hAnsi="Verdana"/>
              </w:rPr>
              <w:t>UK</w:t>
            </w:r>
            <w:r w:rsidR="440E4B29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 xml:space="preserve">GDPR </w:t>
            </w:r>
          </w:p>
          <w:p w14:paraId="06F3CC94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62957B08" w14:textId="030AF3E8" w:rsidR="001733AF" w:rsidRPr="00CD34E3" w:rsidRDefault="0A3E8633" w:rsidP="00816938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 xml:space="preserve">The BCRs must confer the right to lodge a complaint with the </w:t>
            </w:r>
            <w:r w:rsidR="6BD6554B" w:rsidRPr="077C6266">
              <w:rPr>
                <w:rFonts w:ascii="Verdana" w:hAnsi="Verdana"/>
              </w:rPr>
              <w:t xml:space="preserve">Information </w:t>
            </w:r>
            <w:r w:rsidRPr="077C6266">
              <w:rPr>
                <w:rFonts w:ascii="Verdana" w:hAnsi="Verdana"/>
              </w:rPr>
              <w:t>Commissioner</w:t>
            </w:r>
            <w:r w:rsidR="0DE21C39" w:rsidRPr="077C6266">
              <w:rPr>
                <w:rFonts w:ascii="Verdana" w:hAnsi="Verdana"/>
              </w:rPr>
              <w:t xml:space="preserve">.  </w:t>
            </w:r>
            <w:r w:rsidR="49D0F230" w:rsidRPr="077C6266">
              <w:rPr>
                <w:rFonts w:ascii="Verdana" w:hAnsi="Verdana"/>
              </w:rPr>
              <w:t>Reference</w:t>
            </w:r>
            <w:r w:rsidR="52400E87" w:rsidRPr="077C6266">
              <w:rPr>
                <w:rFonts w:ascii="Verdana" w:hAnsi="Verdana"/>
              </w:rPr>
              <w:t xml:space="preserve">s </w:t>
            </w:r>
            <w:r w:rsidR="49D0F230" w:rsidRPr="077C6266">
              <w:rPr>
                <w:rFonts w:ascii="Verdana" w:hAnsi="Verdana"/>
              </w:rPr>
              <w:t>to</w:t>
            </w:r>
            <w:r w:rsidR="6018A3FE" w:rsidRPr="077C6266">
              <w:rPr>
                <w:rFonts w:ascii="Verdana" w:hAnsi="Verdana"/>
              </w:rPr>
              <w:t xml:space="preserve"> lodging a complaint with any</w:t>
            </w:r>
            <w:r w:rsidR="49D0F230" w:rsidRPr="077C6266">
              <w:rPr>
                <w:rFonts w:ascii="Verdana" w:hAnsi="Verdana"/>
              </w:rPr>
              <w:t xml:space="preserve"> competent SAs in the EEA should be removed.  </w:t>
            </w:r>
          </w:p>
          <w:p w14:paraId="1F91F19C" w14:textId="0B9D7E3E" w:rsidR="00F32032" w:rsidRPr="00CD34E3" w:rsidRDefault="4146C82A" w:rsidP="063E4A9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 </w:t>
            </w:r>
          </w:p>
          <w:p w14:paraId="51FC1119" w14:textId="20B3FCF0" w:rsidR="00F32032" w:rsidRPr="00CD34E3" w:rsidRDefault="4DBC9792" w:rsidP="6C8E5991">
            <w:pPr>
              <w:pStyle w:val="Defaul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>R</w:t>
            </w:r>
            <w:r w:rsidR="146D9128" w:rsidRPr="0B47653E">
              <w:rPr>
                <w:rFonts w:ascii="Verdana" w:hAnsi="Verdana"/>
              </w:rPr>
              <w:t xml:space="preserve">eplace any reference to </w:t>
            </w:r>
            <w:r w:rsidR="203D2B91" w:rsidRPr="0B47653E">
              <w:rPr>
                <w:rFonts w:ascii="Verdana" w:hAnsi="Verdana"/>
              </w:rPr>
              <w:t xml:space="preserve">EEA based courts with UK </w:t>
            </w:r>
            <w:r w:rsidR="75D4D710" w:rsidRPr="0B47653E">
              <w:rPr>
                <w:rFonts w:ascii="Verdana" w:hAnsi="Verdana"/>
              </w:rPr>
              <w:t>Courts</w:t>
            </w:r>
            <w:r w:rsidR="54B30E76" w:rsidRPr="0B47653E">
              <w:rPr>
                <w:rFonts w:ascii="Verdana" w:hAnsi="Verdana"/>
              </w:rPr>
              <w:t>,</w:t>
            </w:r>
            <w:r w:rsidR="75D4D710" w:rsidRPr="0B47653E">
              <w:rPr>
                <w:rFonts w:ascii="Verdana" w:hAnsi="Verdana"/>
              </w:rPr>
              <w:t xml:space="preserve"> </w:t>
            </w:r>
            <w:r w:rsidR="70009592" w:rsidRPr="0B47653E">
              <w:rPr>
                <w:rFonts w:ascii="Verdana" w:hAnsi="Verdana"/>
              </w:rPr>
              <w:t>including</w:t>
            </w:r>
            <w:r w:rsidR="00F32032" w:rsidRPr="0B47653E">
              <w:rPr>
                <w:rFonts w:ascii="Verdana" w:hAnsi="Verdana"/>
              </w:rPr>
              <w:t xml:space="preserve"> with respect to rights that are enforceable directly against the processor, and rights that are enforceable against the processor when the data subject is not able to bring a claim against the controller. </w:t>
            </w:r>
          </w:p>
        </w:tc>
        <w:tc>
          <w:tcPr>
            <w:tcW w:w="2224" w:type="dxa"/>
          </w:tcPr>
          <w:p w14:paraId="4E28C2EC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37559463" w14:textId="77777777" w:rsidTr="077C6266">
        <w:tc>
          <w:tcPr>
            <w:tcW w:w="2070" w:type="dxa"/>
          </w:tcPr>
          <w:p w14:paraId="077F6858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1.4 Responsibility </w:t>
            </w:r>
            <w:r w:rsidRPr="00CD34E3">
              <w:rPr>
                <w:rFonts w:ascii="Verdana" w:hAnsi="Verdana"/>
              </w:rPr>
              <w:lastRenderedPageBreak/>
              <w:t xml:space="preserve">towards the controller </w:t>
            </w:r>
          </w:p>
          <w:p w14:paraId="6530F119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2566291E" w14:textId="655C024E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lastRenderedPageBreak/>
              <w:t xml:space="preserve">YES (applicable </w:t>
            </w:r>
            <w:r w:rsidRPr="6C8E5991">
              <w:rPr>
                <w:rFonts w:ascii="Verdana" w:hAnsi="Verdana"/>
              </w:rPr>
              <w:lastRenderedPageBreak/>
              <w:t>only to BCR-P)</w:t>
            </w:r>
            <w:r w:rsidR="383A9127" w:rsidRPr="6C8E5991">
              <w:rPr>
                <w:rFonts w:ascii="Verdana" w:hAnsi="Verdana"/>
              </w:rPr>
              <w:t>.</w:t>
            </w:r>
            <w:r w:rsidRPr="6C8E5991">
              <w:rPr>
                <w:rFonts w:ascii="Verdana" w:hAnsi="Verdana"/>
              </w:rPr>
              <w:t xml:space="preserve"> </w:t>
            </w:r>
          </w:p>
          <w:p w14:paraId="219E319D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831" w:type="dxa"/>
          </w:tcPr>
          <w:p w14:paraId="733DF466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lastRenderedPageBreak/>
              <w:t xml:space="preserve">YES (applicable </w:t>
            </w:r>
            <w:r w:rsidRPr="00CD34E3">
              <w:rPr>
                <w:rFonts w:ascii="Verdana" w:hAnsi="Verdana"/>
              </w:rPr>
              <w:lastRenderedPageBreak/>
              <w:t xml:space="preserve">to BCR-P only) </w:t>
            </w:r>
          </w:p>
          <w:p w14:paraId="0F63C911" w14:textId="030C17BE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  <w:p w14:paraId="6A0CB4BE" w14:textId="77777777" w:rsidR="00EB33B2" w:rsidRPr="00CD34E3" w:rsidRDefault="00EB33B2" w:rsidP="00F32032">
            <w:pPr>
              <w:pStyle w:val="Default"/>
              <w:rPr>
                <w:rFonts w:ascii="Verdana" w:hAnsi="Verdana"/>
              </w:rPr>
            </w:pPr>
          </w:p>
          <w:p w14:paraId="4CE20C3B" w14:textId="20FCA59D" w:rsidR="00EB33B2" w:rsidRPr="00CD34E3" w:rsidRDefault="00EB33B2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16FC161E" w14:textId="6ED07576" w:rsidR="00F32032" w:rsidRPr="00CD34E3" w:rsidRDefault="00F32032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26D12ACF" w14:textId="0EE83C87" w:rsidR="00F32032" w:rsidRPr="00CD34E3" w:rsidRDefault="00F32032" w:rsidP="006251FD">
            <w:pPr>
              <w:pStyle w:val="Default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Ensure that the service agreement used to make the </w:t>
            </w:r>
            <w:r w:rsidRPr="00CD34E3">
              <w:rPr>
                <w:rFonts w:ascii="Verdana" w:hAnsi="Verdana"/>
              </w:rPr>
              <w:lastRenderedPageBreak/>
              <w:t xml:space="preserve">BCR-P binding towards the controller is signed, on the side of the Group of undertakings / enterprises acting as processor, by a BCR member in the </w:t>
            </w:r>
            <w:r w:rsidR="641B9A72" w:rsidRPr="00CD34E3">
              <w:rPr>
                <w:rFonts w:ascii="Verdana" w:hAnsi="Verdana"/>
              </w:rPr>
              <w:t>UK</w:t>
            </w:r>
            <w:r w:rsidRPr="00CD34E3">
              <w:rPr>
                <w:rFonts w:ascii="Verdana" w:hAnsi="Verdana"/>
              </w:rPr>
              <w:t xml:space="preserve">. </w:t>
            </w:r>
          </w:p>
          <w:p w14:paraId="61882283" w14:textId="77777777" w:rsidR="00F32032" w:rsidRPr="00CD34E3" w:rsidRDefault="00F32032" w:rsidP="00F32032">
            <w:pPr>
              <w:pStyle w:val="Default"/>
              <w:rPr>
                <w:rFonts w:ascii="Verdana" w:hAnsi="Verdana"/>
                <w:color w:val="auto"/>
              </w:rPr>
            </w:pPr>
          </w:p>
          <w:p w14:paraId="5FE938D7" w14:textId="426634A2" w:rsidR="00F32032" w:rsidRPr="00CD34E3" w:rsidRDefault="00F32032" w:rsidP="6C8E5991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 xml:space="preserve">Ensure that the controller is entitled to enforce the BCR-P against at least one BCR member in the </w:t>
            </w:r>
            <w:r w:rsidR="6297235B" w:rsidRPr="0B47653E">
              <w:rPr>
                <w:rFonts w:ascii="Verdana" w:hAnsi="Verdana"/>
              </w:rPr>
              <w:t xml:space="preserve">UK </w:t>
            </w:r>
            <w:r w:rsidRPr="0B47653E">
              <w:rPr>
                <w:rFonts w:ascii="Verdana" w:hAnsi="Verdana"/>
              </w:rPr>
              <w:t>(i.e</w:t>
            </w:r>
            <w:r w:rsidR="3B05DAEA" w:rsidRPr="0B47653E">
              <w:rPr>
                <w:rFonts w:ascii="Verdana" w:hAnsi="Verdana"/>
              </w:rPr>
              <w:t>.</w:t>
            </w:r>
            <w:r w:rsidRPr="0B47653E">
              <w:rPr>
                <w:rFonts w:ascii="Verdana" w:hAnsi="Verdana"/>
              </w:rPr>
              <w:t xml:space="preserve"> either</w:t>
            </w:r>
            <w:r w:rsidR="7C32995E" w:rsidRPr="0B47653E">
              <w:rPr>
                <w:rFonts w:ascii="Verdana" w:hAnsi="Verdana"/>
              </w:rPr>
              <w:t xml:space="preserve"> the UK </w:t>
            </w:r>
            <w:r w:rsidR="5C66590C" w:rsidRPr="0B47653E">
              <w:rPr>
                <w:rFonts w:ascii="Verdana" w:hAnsi="Verdana"/>
              </w:rPr>
              <w:t>h</w:t>
            </w:r>
            <w:r w:rsidR="7C32995E" w:rsidRPr="0B47653E">
              <w:rPr>
                <w:rFonts w:ascii="Verdana" w:hAnsi="Verdana"/>
              </w:rPr>
              <w:t>eadquarters,</w:t>
            </w:r>
            <w:r w:rsidRPr="0B47653E">
              <w:rPr>
                <w:rFonts w:ascii="Verdana" w:hAnsi="Verdana"/>
              </w:rPr>
              <w:t xml:space="preserve"> a BCR member with delegated data protection responsibilities in the </w:t>
            </w:r>
            <w:r w:rsidR="6297235B" w:rsidRPr="0B47653E">
              <w:rPr>
                <w:rFonts w:ascii="Verdana" w:hAnsi="Verdana"/>
              </w:rPr>
              <w:t>UK</w:t>
            </w:r>
            <w:r w:rsidRPr="0B47653E">
              <w:rPr>
                <w:rFonts w:ascii="Verdana" w:hAnsi="Verdana"/>
              </w:rPr>
              <w:t xml:space="preserve">, or the </w:t>
            </w:r>
            <w:r w:rsidR="0F103D5C" w:rsidRPr="0B47653E">
              <w:rPr>
                <w:rFonts w:ascii="Verdana" w:hAnsi="Verdana"/>
              </w:rPr>
              <w:t>UK</w:t>
            </w:r>
            <w:r w:rsidRPr="0B47653E">
              <w:rPr>
                <w:rFonts w:ascii="Verdana" w:hAnsi="Verdana"/>
              </w:rPr>
              <w:t xml:space="preserve"> exporter). </w:t>
            </w:r>
          </w:p>
        </w:tc>
        <w:tc>
          <w:tcPr>
            <w:tcW w:w="2224" w:type="dxa"/>
          </w:tcPr>
          <w:p w14:paraId="113675F0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435CC300" w14:textId="77777777" w:rsidTr="077C6266">
        <w:tc>
          <w:tcPr>
            <w:tcW w:w="2070" w:type="dxa"/>
          </w:tcPr>
          <w:p w14:paraId="362F8CD0" w14:textId="59B7A524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1.5 The </w:t>
            </w:r>
            <w:r w:rsidR="31B20D93" w:rsidRPr="00CD34E3">
              <w:rPr>
                <w:rFonts w:ascii="Verdana" w:hAnsi="Verdana"/>
              </w:rPr>
              <w:t>UK</w:t>
            </w:r>
            <w:r w:rsidRPr="00CD34E3">
              <w:rPr>
                <w:rFonts w:ascii="Verdana" w:hAnsi="Verdana"/>
              </w:rPr>
              <w:t xml:space="preserve"> headquarters, </w:t>
            </w:r>
            <w:r w:rsidR="31B20D93" w:rsidRPr="00CD34E3">
              <w:rPr>
                <w:rFonts w:ascii="Verdana" w:hAnsi="Verdana"/>
              </w:rPr>
              <w:t>UK</w:t>
            </w:r>
            <w:r w:rsidRPr="00CD34E3">
              <w:rPr>
                <w:rFonts w:ascii="Verdana" w:hAnsi="Verdana"/>
              </w:rPr>
              <w:t xml:space="preserve"> member with delegated data protection responsibilities or the data exporter </w:t>
            </w:r>
            <w:r w:rsidRPr="00CD34E3">
              <w:rPr>
                <w:rFonts w:ascii="Verdana" w:hAnsi="Verdana"/>
              </w:rPr>
              <w:lastRenderedPageBreak/>
              <w:t xml:space="preserve">accepts liability for paying compensation and to remedy breaches of the BCRs </w:t>
            </w:r>
          </w:p>
          <w:p w14:paraId="692A7DD8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1E2AA62E" w14:textId="0DF27709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lastRenderedPageBreak/>
              <w:t>YES</w:t>
            </w:r>
          </w:p>
        </w:tc>
        <w:tc>
          <w:tcPr>
            <w:tcW w:w="1831" w:type="dxa"/>
          </w:tcPr>
          <w:p w14:paraId="46B3933C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73026AB4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  <w:p w14:paraId="6535FCF7" w14:textId="1F486F31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35B7F537" w14:textId="653C2539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47.2.f </w:t>
            </w:r>
            <w:r w:rsidR="3ABCD493" w:rsidRPr="00CD34E3">
              <w:rPr>
                <w:rFonts w:ascii="Verdana" w:hAnsi="Verdana"/>
              </w:rPr>
              <w:t>UK</w:t>
            </w:r>
            <w:r w:rsidR="26307A37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 xml:space="preserve">GDPR </w:t>
            </w:r>
          </w:p>
          <w:p w14:paraId="633669CB" w14:textId="77777777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40CE7EA2" w14:textId="3AB38415" w:rsidR="00F32032" w:rsidRPr="00CD34E3" w:rsidRDefault="63558CD8" w:rsidP="006251FD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T</w:t>
            </w:r>
            <w:r w:rsidR="00F32032" w:rsidRPr="6C8E5991">
              <w:rPr>
                <w:rFonts w:ascii="Verdana" w:hAnsi="Verdana"/>
              </w:rPr>
              <w:t xml:space="preserve">he </w:t>
            </w:r>
            <w:r w:rsidR="068BB577" w:rsidRPr="6C8E5991">
              <w:rPr>
                <w:rFonts w:ascii="Verdana" w:hAnsi="Verdana"/>
              </w:rPr>
              <w:t xml:space="preserve">BCR member </w:t>
            </w:r>
            <w:r w:rsidR="0D70EDF4" w:rsidRPr="6C8E5991">
              <w:rPr>
                <w:rFonts w:ascii="Verdana" w:hAnsi="Verdana"/>
              </w:rPr>
              <w:t>accepting liability</w:t>
            </w:r>
            <w:r w:rsidR="00F32032" w:rsidRPr="6C8E5991">
              <w:rPr>
                <w:rFonts w:ascii="Verdana" w:hAnsi="Verdana"/>
              </w:rPr>
              <w:t xml:space="preserve"> for any violations of the</w:t>
            </w:r>
            <w:r w:rsidR="449E736C" w:rsidRPr="6C8E5991">
              <w:rPr>
                <w:rFonts w:ascii="Verdana" w:hAnsi="Verdana"/>
              </w:rPr>
              <w:t xml:space="preserve"> </w:t>
            </w:r>
            <w:r w:rsidR="00F32032" w:rsidRPr="6C8E5991">
              <w:rPr>
                <w:rFonts w:ascii="Verdana" w:hAnsi="Verdana"/>
              </w:rPr>
              <w:t xml:space="preserve">BCRs by other BCR members outside of the </w:t>
            </w:r>
            <w:r w:rsidR="4800456C" w:rsidRPr="6C8E5991">
              <w:rPr>
                <w:rFonts w:ascii="Verdana" w:hAnsi="Verdana"/>
              </w:rPr>
              <w:t xml:space="preserve">UK, </w:t>
            </w:r>
            <w:r w:rsidR="7F98A2BE" w:rsidRPr="6C8E5991">
              <w:rPr>
                <w:rFonts w:ascii="Verdana" w:hAnsi="Verdana"/>
              </w:rPr>
              <w:t>must be</w:t>
            </w:r>
            <w:r w:rsidR="00F32032" w:rsidRPr="6C8E5991">
              <w:rPr>
                <w:rFonts w:ascii="Verdana" w:hAnsi="Verdana"/>
              </w:rPr>
              <w:t xml:space="preserve"> </w:t>
            </w:r>
            <w:r w:rsidR="545F7C30" w:rsidRPr="6C8E5991">
              <w:rPr>
                <w:rFonts w:ascii="Verdana" w:hAnsi="Verdana"/>
              </w:rPr>
              <w:t>established in</w:t>
            </w:r>
            <w:r w:rsidR="00F32032" w:rsidRPr="6C8E5991">
              <w:rPr>
                <w:rFonts w:ascii="Verdana" w:hAnsi="Verdana"/>
              </w:rPr>
              <w:t xml:space="preserve"> the </w:t>
            </w:r>
            <w:r w:rsidR="6FE2C8CA" w:rsidRPr="6C8E5991">
              <w:rPr>
                <w:rFonts w:ascii="Verdana" w:hAnsi="Verdana"/>
              </w:rPr>
              <w:t>UK</w:t>
            </w:r>
            <w:r w:rsidR="00F32032" w:rsidRPr="6C8E5991">
              <w:rPr>
                <w:rFonts w:ascii="Verdana" w:hAnsi="Verdana"/>
              </w:rPr>
              <w:t xml:space="preserve">. </w:t>
            </w:r>
          </w:p>
          <w:p w14:paraId="39857753" w14:textId="7E4679F9" w:rsidR="00F32032" w:rsidRPr="00CD34E3" w:rsidRDefault="00F32032" w:rsidP="063E4A92">
            <w:pPr>
              <w:pStyle w:val="Default"/>
              <w:rPr>
                <w:rFonts w:ascii="Verdana" w:hAnsi="Verdana"/>
                <w:color w:val="auto"/>
              </w:rPr>
            </w:pPr>
          </w:p>
        </w:tc>
        <w:tc>
          <w:tcPr>
            <w:tcW w:w="2224" w:type="dxa"/>
          </w:tcPr>
          <w:p w14:paraId="503F782E" w14:textId="155AC35C" w:rsidR="00F32032" w:rsidRPr="00CD34E3" w:rsidRDefault="00F32032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3B620581" w14:textId="77777777" w:rsidTr="077C6266">
        <w:tc>
          <w:tcPr>
            <w:tcW w:w="2070" w:type="dxa"/>
          </w:tcPr>
          <w:p w14:paraId="49D6E16E" w14:textId="259A0E7F" w:rsidR="00761B9A" w:rsidRPr="00CD34E3" w:rsidRDefault="11539C15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 xml:space="preserve">1.6 The burden of proof </w:t>
            </w:r>
            <w:r w:rsidR="36E56A8E" w:rsidRPr="6C8E5991">
              <w:rPr>
                <w:rFonts w:ascii="Verdana" w:hAnsi="Verdana"/>
              </w:rPr>
              <w:t>lies with the company not the individual.</w:t>
            </w:r>
            <w:r w:rsidR="657FB9D6" w:rsidRPr="6C8E5991">
              <w:rPr>
                <w:rFonts w:ascii="Verdana" w:hAnsi="Verdana"/>
              </w:rPr>
              <w:t xml:space="preserve"> </w:t>
            </w:r>
          </w:p>
        </w:tc>
        <w:tc>
          <w:tcPr>
            <w:tcW w:w="1769" w:type="dxa"/>
          </w:tcPr>
          <w:p w14:paraId="53931D70" w14:textId="4B9CB4D6" w:rsidR="00761B9A" w:rsidRPr="00CD34E3" w:rsidRDefault="1CE0B604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Y</w:t>
            </w:r>
            <w:r w:rsidR="38DF8A1E" w:rsidRPr="6C8E5991">
              <w:rPr>
                <w:rFonts w:ascii="Verdana" w:hAnsi="Verdana"/>
              </w:rPr>
              <w:t>ES</w:t>
            </w:r>
          </w:p>
        </w:tc>
        <w:tc>
          <w:tcPr>
            <w:tcW w:w="1831" w:type="dxa"/>
          </w:tcPr>
          <w:p w14:paraId="3DBE4C14" w14:textId="1947C53D" w:rsidR="00761B9A" w:rsidRPr="00CD34E3" w:rsidRDefault="1CE0B604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Y</w:t>
            </w:r>
            <w:r w:rsidR="135A0641" w:rsidRPr="6C8E5991">
              <w:rPr>
                <w:rFonts w:ascii="Verdana" w:hAnsi="Verdana"/>
              </w:rPr>
              <w:t>ES</w:t>
            </w:r>
          </w:p>
          <w:p w14:paraId="65E68C4C" w14:textId="77777777" w:rsidR="00844CE2" w:rsidRPr="00CD34E3" w:rsidRDefault="00844CE2" w:rsidP="00F32032">
            <w:pPr>
              <w:pStyle w:val="Default"/>
              <w:rPr>
                <w:rFonts w:ascii="Verdana" w:hAnsi="Verdana"/>
              </w:rPr>
            </w:pPr>
          </w:p>
          <w:p w14:paraId="4DDD41C8" w14:textId="0D497B6A" w:rsidR="00844CE2" w:rsidRPr="00CD34E3" w:rsidRDefault="00844CE2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3C31654E" w14:textId="5DF31512" w:rsidR="00761B9A" w:rsidRPr="00CD34E3" w:rsidRDefault="6272A3E8" w:rsidP="00F32032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eastAsia="Times New Roman" w:hAnsi="Verdana" w:cstheme="minorBidi"/>
                <w:lang w:eastAsia="it-IT"/>
              </w:rPr>
              <w:t>Art. 47.2.f</w:t>
            </w:r>
            <w:r w:rsidR="5055176A" w:rsidRPr="6C8E5991">
              <w:rPr>
                <w:rFonts w:ascii="Verdana" w:eastAsia="Times New Roman" w:hAnsi="Verdana" w:cstheme="minorBidi"/>
                <w:lang w:eastAsia="it-IT"/>
              </w:rPr>
              <w:t xml:space="preserve"> UK GDPR</w:t>
            </w:r>
          </w:p>
        </w:tc>
        <w:tc>
          <w:tcPr>
            <w:tcW w:w="4535" w:type="dxa"/>
          </w:tcPr>
          <w:p w14:paraId="4E083E65" w14:textId="3D56EF58" w:rsidR="0082681B" w:rsidRPr="00CD34E3" w:rsidRDefault="1647866D" w:rsidP="6C8E5991">
            <w:pPr>
              <w:pStyle w:val="Default"/>
              <w:numPr>
                <w:ilvl w:val="0"/>
                <w:numId w:val="6"/>
              </w:numPr>
              <w:rPr>
                <w:rFonts w:ascii="Verdana" w:hAnsi="Verdana"/>
                <w:color w:val="auto"/>
              </w:rPr>
            </w:pPr>
            <w:r w:rsidRPr="6C8E5991">
              <w:rPr>
                <w:rFonts w:ascii="Verdana" w:hAnsi="Verdana"/>
              </w:rPr>
              <w:t>Ensure</w:t>
            </w:r>
            <w:r w:rsidR="1C476418" w:rsidRPr="6C8E5991">
              <w:rPr>
                <w:rFonts w:ascii="Verdana" w:hAnsi="Verdana"/>
              </w:rPr>
              <w:t xml:space="preserve"> that the BCR member that has accepted liability</w:t>
            </w:r>
            <w:r w:rsidR="622E080A" w:rsidRPr="6C8E5991">
              <w:rPr>
                <w:rFonts w:ascii="Verdana" w:hAnsi="Verdana"/>
              </w:rPr>
              <w:t xml:space="preserve"> under the BCRs carries the burden </w:t>
            </w:r>
            <w:r w:rsidR="71610FBD" w:rsidRPr="6C8E5991">
              <w:rPr>
                <w:rFonts w:ascii="Verdana" w:hAnsi="Verdana"/>
              </w:rPr>
              <w:t>to prove</w:t>
            </w:r>
            <w:r w:rsidR="622E080A" w:rsidRPr="6C8E5991">
              <w:rPr>
                <w:rFonts w:ascii="Verdana" w:hAnsi="Verdana"/>
              </w:rPr>
              <w:t xml:space="preserve"> that the BCR member </w:t>
            </w:r>
            <w:r w:rsidR="77739A3D" w:rsidRPr="6C8E5991">
              <w:rPr>
                <w:rFonts w:ascii="Verdana" w:hAnsi="Verdana"/>
              </w:rPr>
              <w:t>es</w:t>
            </w:r>
            <w:r w:rsidR="57522082" w:rsidRPr="6C8E5991">
              <w:rPr>
                <w:rFonts w:ascii="Verdana" w:hAnsi="Verdana"/>
              </w:rPr>
              <w:t>tablished</w:t>
            </w:r>
            <w:r w:rsidR="77739A3D" w:rsidRPr="6C8E5991">
              <w:rPr>
                <w:rFonts w:ascii="Verdana" w:hAnsi="Verdana"/>
              </w:rPr>
              <w:t xml:space="preserve"> outside the UK is not </w:t>
            </w:r>
            <w:r w:rsidR="3DCCBFC7" w:rsidRPr="6C8E5991">
              <w:rPr>
                <w:rFonts w:ascii="Verdana" w:hAnsi="Verdana"/>
              </w:rPr>
              <w:t xml:space="preserve">liable </w:t>
            </w:r>
            <w:r w:rsidR="306D65CC" w:rsidRPr="6C8E5991">
              <w:rPr>
                <w:rFonts w:ascii="Verdana" w:hAnsi="Verdana"/>
              </w:rPr>
              <w:t>for any violation of the</w:t>
            </w:r>
            <w:r w:rsidR="306D65CC" w:rsidRPr="6C8E5991">
              <w:rPr>
                <w:rFonts w:ascii="Verdana" w:hAnsi="Verdana"/>
                <w:color w:val="auto"/>
              </w:rPr>
              <w:t xml:space="preserve"> rules </w:t>
            </w:r>
            <w:r w:rsidR="21949ADE" w:rsidRPr="6C8E5991">
              <w:rPr>
                <w:rFonts w:ascii="Verdana" w:hAnsi="Verdana"/>
                <w:color w:val="auto"/>
              </w:rPr>
              <w:t>which has resulted in the data subject claiming damages</w:t>
            </w:r>
            <w:r w:rsidR="51D6E4B7" w:rsidRPr="6C8E5991">
              <w:rPr>
                <w:rFonts w:ascii="Verdana" w:hAnsi="Verdana"/>
                <w:color w:val="auto"/>
              </w:rPr>
              <w:t xml:space="preserve">. </w:t>
            </w:r>
          </w:p>
        </w:tc>
        <w:tc>
          <w:tcPr>
            <w:tcW w:w="2224" w:type="dxa"/>
          </w:tcPr>
          <w:p w14:paraId="2D4E9976" w14:textId="77777777" w:rsidR="00761B9A" w:rsidRPr="00CD34E3" w:rsidRDefault="00761B9A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39B171DD" w14:textId="77777777" w:rsidTr="077C6266">
        <w:tc>
          <w:tcPr>
            <w:tcW w:w="2070" w:type="dxa"/>
          </w:tcPr>
          <w:p w14:paraId="1326D976" w14:textId="7A25316A" w:rsidR="003B61DA" w:rsidRPr="00CD34E3" w:rsidRDefault="1104802C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1.</w:t>
            </w:r>
            <w:r w:rsidR="2DC08448" w:rsidRPr="00CD34E3">
              <w:rPr>
                <w:rFonts w:ascii="Verdana" w:hAnsi="Verdana"/>
              </w:rPr>
              <w:t>7</w:t>
            </w:r>
            <w:r w:rsidRPr="00CD34E3">
              <w:rPr>
                <w:rFonts w:ascii="Verdana" w:hAnsi="Verdana"/>
              </w:rPr>
              <w:t xml:space="preserve">. The company has sufficient assets. </w:t>
            </w:r>
          </w:p>
          <w:p w14:paraId="4640D939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40DA2D55" w14:textId="64BEA364" w:rsidR="003B61DA" w:rsidRPr="00CD34E3" w:rsidRDefault="365C2491" w:rsidP="6C8E5991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NO</w:t>
            </w:r>
          </w:p>
        </w:tc>
        <w:tc>
          <w:tcPr>
            <w:tcW w:w="1831" w:type="dxa"/>
          </w:tcPr>
          <w:p w14:paraId="338688B1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53286EF8" w14:textId="77F4A919" w:rsidR="007A77B6" w:rsidRPr="00CD34E3" w:rsidRDefault="007A77B6" w:rsidP="003B61DA">
            <w:pPr>
              <w:pStyle w:val="Default"/>
              <w:rPr>
                <w:rFonts w:ascii="Verdana" w:hAnsi="Verdana"/>
              </w:rPr>
            </w:pPr>
          </w:p>
          <w:p w14:paraId="0D09F69D" w14:textId="714DF541" w:rsidR="003B61DA" w:rsidRPr="00CD34E3" w:rsidRDefault="003B61DA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338D2C46" w14:textId="41D3F639" w:rsidR="003B61DA" w:rsidRPr="00CD34E3" w:rsidRDefault="4098EDDB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47.2.f </w:t>
            </w:r>
            <w:r w:rsidR="4A079299" w:rsidRPr="00CD34E3">
              <w:rPr>
                <w:rFonts w:ascii="Verdana" w:hAnsi="Verdana"/>
              </w:rPr>
              <w:t>UK</w:t>
            </w:r>
            <w:r w:rsidR="7CB808CC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 xml:space="preserve">GDPR </w:t>
            </w:r>
          </w:p>
          <w:p w14:paraId="5246AB9E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4BBAAB5C" w14:textId="7C427BA2" w:rsidR="003B61DA" w:rsidRPr="00CD34E3" w:rsidRDefault="4098EDDB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Provide confirmation of whether </w:t>
            </w:r>
            <w:r w:rsidR="670EB115" w:rsidRPr="00CD34E3">
              <w:rPr>
                <w:rFonts w:ascii="Verdana" w:hAnsi="Verdana"/>
              </w:rPr>
              <w:t>the entity</w:t>
            </w:r>
            <w:r w:rsidRPr="00CD34E3">
              <w:rPr>
                <w:rFonts w:ascii="Verdana" w:hAnsi="Verdana"/>
              </w:rPr>
              <w:t xml:space="preserve"> </w:t>
            </w:r>
            <w:r w:rsidR="3F702A8A" w:rsidRPr="00CD34E3">
              <w:rPr>
                <w:rFonts w:ascii="Verdana" w:hAnsi="Verdana"/>
              </w:rPr>
              <w:t>accepting</w:t>
            </w:r>
            <w:r w:rsidRPr="00CD34E3">
              <w:rPr>
                <w:rFonts w:ascii="Verdana" w:hAnsi="Verdana"/>
              </w:rPr>
              <w:t xml:space="preserve"> liability in the </w:t>
            </w:r>
            <w:r w:rsidR="4C420187" w:rsidRPr="00CD34E3">
              <w:rPr>
                <w:rFonts w:ascii="Verdana" w:hAnsi="Verdana"/>
              </w:rPr>
              <w:t>UK has</w:t>
            </w:r>
            <w:r w:rsidRPr="00CD34E3">
              <w:rPr>
                <w:rFonts w:ascii="Verdana" w:hAnsi="Verdana"/>
              </w:rPr>
              <w:t xml:space="preserve"> sufficient financial means (or confirmation of an insurance) to cover any damages. </w:t>
            </w:r>
          </w:p>
          <w:p w14:paraId="6BA51DE2" w14:textId="7E39B637" w:rsidR="0B21B611" w:rsidRPr="00CD34E3" w:rsidRDefault="0B21B611" w:rsidP="0B21B611">
            <w:pPr>
              <w:pStyle w:val="Default"/>
              <w:rPr>
                <w:rFonts w:ascii="Verdana" w:hAnsi="Verdana"/>
              </w:rPr>
            </w:pPr>
          </w:p>
          <w:p w14:paraId="7C32AA48" w14:textId="12D3365C" w:rsidR="003B61DA" w:rsidRPr="00CD34E3" w:rsidRDefault="023CE47E" w:rsidP="6C8E5991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lastRenderedPageBreak/>
              <w:t xml:space="preserve">Where </w:t>
            </w:r>
            <w:r w:rsidR="518DDDA3" w:rsidRPr="6C8E5991">
              <w:rPr>
                <w:rFonts w:ascii="Verdana" w:hAnsi="Verdana"/>
              </w:rPr>
              <w:t>more than one</w:t>
            </w:r>
            <w:r w:rsidR="5A2DA7E0" w:rsidRPr="6C8E5991">
              <w:rPr>
                <w:rFonts w:ascii="Verdana" w:hAnsi="Verdana"/>
              </w:rPr>
              <w:t xml:space="preserve"> </w:t>
            </w:r>
            <w:r w:rsidRPr="6C8E5991">
              <w:rPr>
                <w:rFonts w:ascii="Verdana" w:hAnsi="Verdana"/>
              </w:rPr>
              <w:t xml:space="preserve">exporting </w:t>
            </w:r>
            <w:r w:rsidR="792C2828" w:rsidRPr="6C8E5991">
              <w:rPr>
                <w:rFonts w:ascii="Verdana" w:hAnsi="Verdana"/>
              </w:rPr>
              <w:t>entity</w:t>
            </w:r>
            <w:r w:rsidRPr="6C8E5991">
              <w:rPr>
                <w:rFonts w:ascii="Verdana" w:hAnsi="Verdana"/>
              </w:rPr>
              <w:t xml:space="preserve"> in the UK </w:t>
            </w:r>
            <w:r w:rsidR="6C3E8845" w:rsidRPr="6C8E5991">
              <w:rPr>
                <w:rFonts w:ascii="Verdana" w:hAnsi="Verdana"/>
              </w:rPr>
              <w:t>is</w:t>
            </w:r>
            <w:r w:rsidRPr="6C8E5991">
              <w:rPr>
                <w:rFonts w:ascii="Verdana" w:hAnsi="Verdana"/>
              </w:rPr>
              <w:t xml:space="preserve"> accepting liability, provide confirmation that all have sufficient financial means (or confirmation </w:t>
            </w:r>
            <w:r w:rsidR="3BCE22F1" w:rsidRPr="6C8E5991">
              <w:rPr>
                <w:rFonts w:ascii="Verdana" w:hAnsi="Verdana"/>
              </w:rPr>
              <w:t>of an insurance) to cover any damages.</w:t>
            </w:r>
          </w:p>
        </w:tc>
        <w:tc>
          <w:tcPr>
            <w:tcW w:w="2224" w:type="dxa"/>
          </w:tcPr>
          <w:p w14:paraId="3EBB7CD9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3B61DA" w:rsidRPr="00CD34E3" w14:paraId="6E4C13C9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55385CC7" w14:textId="2FDBDD3F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 xml:space="preserve">2. EFFECTIVENESS </w:t>
            </w:r>
          </w:p>
        </w:tc>
      </w:tr>
      <w:tr w:rsidR="00175696" w:rsidRPr="00CD34E3" w14:paraId="5DADA11D" w14:textId="77777777" w:rsidTr="077C6266">
        <w:tc>
          <w:tcPr>
            <w:tcW w:w="2070" w:type="dxa"/>
          </w:tcPr>
          <w:p w14:paraId="2D533A74" w14:textId="4201B317" w:rsidR="003B61DA" w:rsidRPr="00CD34E3" w:rsidRDefault="1FD79BCA" w:rsidP="003B61DA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2.</w:t>
            </w:r>
            <w:r w:rsidR="4C8032AD" w:rsidRPr="6C8E5991">
              <w:rPr>
                <w:rFonts w:ascii="Verdana" w:hAnsi="Verdana"/>
              </w:rPr>
              <w:t>2</w:t>
            </w:r>
            <w:r w:rsidRPr="6C8E5991">
              <w:rPr>
                <w:rFonts w:ascii="Verdana" w:hAnsi="Verdana"/>
              </w:rPr>
              <w:t xml:space="preserve"> The existence of a complaint handling process for the BCRs. </w:t>
            </w:r>
          </w:p>
          <w:p w14:paraId="69B45006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456ED471" w14:textId="5FB42030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2D64B356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YES </w:t>
            </w:r>
          </w:p>
          <w:p w14:paraId="1F4C114A" w14:textId="07560760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</w:p>
          <w:p w14:paraId="47D8B9DC" w14:textId="16A3A709" w:rsidR="007A77B6" w:rsidRPr="00CD34E3" w:rsidRDefault="007A77B6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6DD210C8" w14:textId="21047650" w:rsidR="003B61DA" w:rsidRPr="00CD34E3" w:rsidRDefault="4A5B17D9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47.2.i and Art 12.3. </w:t>
            </w:r>
            <w:r w:rsidR="3918E630" w:rsidRPr="00CD34E3">
              <w:rPr>
                <w:rFonts w:ascii="Verdana" w:hAnsi="Verdana"/>
              </w:rPr>
              <w:t>UK</w:t>
            </w:r>
            <w:r w:rsidR="3DD63891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  <w:p w14:paraId="605EF959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41D90A40" w14:textId="225E6C6A" w:rsidR="003B61DA" w:rsidRPr="00CD34E3" w:rsidRDefault="535F5017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 xml:space="preserve">Ensure that any reference to </w:t>
            </w:r>
            <w:r w:rsidR="663E094E" w:rsidRPr="077C6266">
              <w:rPr>
                <w:rFonts w:ascii="Verdana" w:hAnsi="Verdana"/>
              </w:rPr>
              <w:t xml:space="preserve">lodging a complaint with a Supervisory </w:t>
            </w:r>
            <w:r w:rsidR="3BE2F050" w:rsidRPr="077C6266">
              <w:rPr>
                <w:rFonts w:ascii="Verdana" w:hAnsi="Verdana"/>
              </w:rPr>
              <w:t xml:space="preserve">Authority or </w:t>
            </w:r>
            <w:r w:rsidRPr="077C6266">
              <w:rPr>
                <w:rFonts w:ascii="Verdana" w:hAnsi="Verdana"/>
              </w:rPr>
              <w:t xml:space="preserve">competent </w:t>
            </w:r>
            <w:r w:rsidR="3BE2F050" w:rsidRPr="077C6266">
              <w:rPr>
                <w:rFonts w:ascii="Verdana" w:hAnsi="Verdana"/>
              </w:rPr>
              <w:t>SA</w:t>
            </w:r>
            <w:r w:rsidR="1B1036AF" w:rsidRPr="077C6266">
              <w:rPr>
                <w:rFonts w:ascii="Verdana" w:hAnsi="Verdana"/>
              </w:rPr>
              <w:t xml:space="preserve"> in the </w:t>
            </w:r>
            <w:r w:rsidR="1FD9F81C" w:rsidRPr="077C6266">
              <w:rPr>
                <w:rFonts w:ascii="Verdana" w:hAnsi="Verdana"/>
              </w:rPr>
              <w:t>EEA is</w:t>
            </w:r>
            <w:r w:rsidR="20FAF563" w:rsidRPr="077C6266">
              <w:rPr>
                <w:rFonts w:ascii="Verdana" w:hAnsi="Verdana"/>
              </w:rPr>
              <w:t xml:space="preserve"> </w:t>
            </w:r>
            <w:r w:rsidR="0E7EA584" w:rsidRPr="077C6266">
              <w:rPr>
                <w:rFonts w:ascii="Verdana" w:hAnsi="Verdana"/>
              </w:rPr>
              <w:t>replaced with</w:t>
            </w:r>
            <w:r w:rsidR="1B1036AF" w:rsidRPr="077C6266">
              <w:rPr>
                <w:rFonts w:ascii="Verdana" w:hAnsi="Verdana"/>
              </w:rPr>
              <w:t xml:space="preserve"> </w:t>
            </w:r>
            <w:r w:rsidR="18075D77" w:rsidRPr="077C6266">
              <w:rPr>
                <w:rFonts w:ascii="Verdana" w:hAnsi="Verdana"/>
              </w:rPr>
              <w:t xml:space="preserve">the </w:t>
            </w:r>
            <w:r w:rsidR="66BB0B87" w:rsidRPr="077C6266">
              <w:rPr>
                <w:rFonts w:ascii="Verdana" w:hAnsi="Verdana"/>
              </w:rPr>
              <w:t xml:space="preserve">Information </w:t>
            </w:r>
            <w:r w:rsidR="6E0EC426" w:rsidRPr="077C6266">
              <w:rPr>
                <w:rFonts w:ascii="Verdana" w:hAnsi="Verdana"/>
              </w:rPr>
              <w:t>Commissioner,</w:t>
            </w:r>
            <w:r w:rsidRPr="077C6266">
              <w:rPr>
                <w:rFonts w:ascii="Verdana" w:hAnsi="Verdana"/>
              </w:rPr>
              <w:t xml:space="preserve"> pursuant to Art. 77 </w:t>
            </w:r>
            <w:r w:rsidR="4C2AB2EB" w:rsidRPr="077C6266">
              <w:rPr>
                <w:rFonts w:ascii="Verdana" w:hAnsi="Verdana"/>
              </w:rPr>
              <w:t xml:space="preserve">UK </w:t>
            </w:r>
            <w:r w:rsidRPr="077C6266">
              <w:rPr>
                <w:rFonts w:ascii="Verdana" w:hAnsi="Verdana"/>
              </w:rPr>
              <w:t>GDPR</w:t>
            </w:r>
            <w:r w:rsidR="5909328A" w:rsidRPr="077C6266">
              <w:rPr>
                <w:rFonts w:ascii="Verdana" w:hAnsi="Verdana"/>
              </w:rPr>
              <w:t>.</w:t>
            </w:r>
            <w:r w:rsidR="4C46EBF1" w:rsidRPr="077C6266">
              <w:rPr>
                <w:rFonts w:ascii="Verdana" w:hAnsi="Verdana"/>
              </w:rPr>
              <w:t xml:space="preserve"> </w:t>
            </w:r>
          </w:p>
          <w:p w14:paraId="0BAFFB14" w14:textId="77777777" w:rsidR="003B61DA" w:rsidRPr="00CD34E3" w:rsidRDefault="003B61DA" w:rsidP="003B61DA">
            <w:pPr>
              <w:pStyle w:val="Default"/>
              <w:rPr>
                <w:rFonts w:ascii="Verdana" w:hAnsi="Verdana"/>
                <w:color w:val="auto"/>
              </w:rPr>
            </w:pPr>
          </w:p>
          <w:p w14:paraId="3690AFA9" w14:textId="38620DB4" w:rsidR="003B61DA" w:rsidRPr="00CD34E3" w:rsidRDefault="271E6CCF" w:rsidP="6C8E5991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B47653E">
              <w:rPr>
                <w:rFonts w:ascii="Verdana" w:hAnsi="Verdana"/>
              </w:rPr>
              <w:t>Ensure that any reference to the ‘competent courts’ or ‘national jurisdiction</w:t>
            </w:r>
            <w:r w:rsidR="6AA55799" w:rsidRPr="0B47653E">
              <w:rPr>
                <w:rFonts w:ascii="Verdana" w:hAnsi="Verdana"/>
              </w:rPr>
              <w:t>’</w:t>
            </w:r>
            <w:r w:rsidRPr="0B47653E">
              <w:rPr>
                <w:rFonts w:ascii="Verdana" w:hAnsi="Verdana"/>
              </w:rPr>
              <w:t xml:space="preserve"> will be based in the </w:t>
            </w:r>
            <w:r w:rsidR="5C132DFF" w:rsidRPr="0B47653E">
              <w:rPr>
                <w:rFonts w:ascii="Verdana" w:hAnsi="Verdana"/>
              </w:rPr>
              <w:t>UK</w:t>
            </w:r>
            <w:r w:rsidR="2F868E1A" w:rsidRPr="0B47653E">
              <w:rPr>
                <w:rFonts w:ascii="Verdana" w:hAnsi="Verdana"/>
              </w:rPr>
              <w:t xml:space="preserve"> pursuant to Art</w:t>
            </w:r>
            <w:r w:rsidR="0D33EE60" w:rsidRPr="0B47653E">
              <w:rPr>
                <w:rFonts w:ascii="Verdana" w:hAnsi="Verdana"/>
              </w:rPr>
              <w:t>.79 UK GDPR (see section 180 of the DPA 2018).</w:t>
            </w:r>
          </w:p>
        </w:tc>
        <w:tc>
          <w:tcPr>
            <w:tcW w:w="2224" w:type="dxa"/>
          </w:tcPr>
          <w:p w14:paraId="67AFC88C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3B9D5CF3" w14:textId="77777777" w:rsidTr="077C6266">
        <w:tc>
          <w:tcPr>
            <w:tcW w:w="2070" w:type="dxa"/>
          </w:tcPr>
          <w:p w14:paraId="18593840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lastRenderedPageBreak/>
              <w:t xml:space="preserve">2.3. The existence of an audit programme covering the BCRs. </w:t>
            </w:r>
          </w:p>
          <w:p w14:paraId="16E8EDB8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69" w:type="dxa"/>
          </w:tcPr>
          <w:p w14:paraId="00F47ABF" w14:textId="6931CDF5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3E15AF21" w14:textId="31642A01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519" w:type="dxa"/>
          </w:tcPr>
          <w:p w14:paraId="43D30042" w14:textId="6DE4904E" w:rsidR="003B61DA" w:rsidRPr="00CD34E3" w:rsidRDefault="4A5B17D9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47.2.j; Art 47.2.l and Art. 38.3 </w:t>
            </w:r>
            <w:r w:rsidR="32D4C430" w:rsidRPr="00CD34E3">
              <w:rPr>
                <w:rFonts w:ascii="Verdana" w:hAnsi="Verdana"/>
              </w:rPr>
              <w:t>UK</w:t>
            </w:r>
            <w:r w:rsidR="47F501BA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 xml:space="preserve">GDPR </w:t>
            </w:r>
          </w:p>
          <w:p w14:paraId="60EC523D" w14:textId="77777777" w:rsidR="003B61DA" w:rsidRPr="00CD34E3" w:rsidRDefault="003B61DA" w:rsidP="003B61D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04B5E9AC" w14:textId="10645955" w:rsidR="009A5C63" w:rsidRPr="00CD34E3" w:rsidRDefault="7D2C4DBF" w:rsidP="009A5C63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>Ensure that</w:t>
            </w:r>
            <w:r w:rsidR="6084A2CE" w:rsidRPr="077C6266">
              <w:rPr>
                <w:rFonts w:ascii="Verdana" w:hAnsi="Verdana"/>
              </w:rPr>
              <w:t xml:space="preserve"> the </w:t>
            </w:r>
            <w:r w:rsidR="79AC19D3" w:rsidRPr="077C6266">
              <w:rPr>
                <w:rFonts w:ascii="Verdana" w:hAnsi="Verdana"/>
              </w:rPr>
              <w:t xml:space="preserve">Information </w:t>
            </w:r>
            <w:r w:rsidR="6084A2CE" w:rsidRPr="077C6266">
              <w:rPr>
                <w:rFonts w:ascii="Verdana" w:hAnsi="Verdana"/>
              </w:rPr>
              <w:t xml:space="preserve">Commissioner </w:t>
            </w:r>
            <w:r w:rsidR="4B170174" w:rsidRPr="077C6266">
              <w:rPr>
                <w:rFonts w:ascii="Verdana" w:hAnsi="Verdana"/>
              </w:rPr>
              <w:t>has the</w:t>
            </w:r>
            <w:r w:rsidRPr="077C6266">
              <w:rPr>
                <w:rFonts w:ascii="Verdana" w:hAnsi="Verdana"/>
              </w:rPr>
              <w:t xml:space="preserve"> authority/power to carry out a data protection audit of any </w:t>
            </w:r>
            <w:r w:rsidR="0C534AB3" w:rsidRPr="077C6266">
              <w:rPr>
                <w:rFonts w:ascii="Verdana" w:hAnsi="Verdana"/>
              </w:rPr>
              <w:t>BCR or</w:t>
            </w:r>
            <w:r w:rsidR="43B7BD14" w:rsidRPr="077C6266">
              <w:rPr>
                <w:rFonts w:ascii="Verdana" w:hAnsi="Verdana"/>
              </w:rPr>
              <w:t xml:space="preserve"> </w:t>
            </w:r>
            <w:r w:rsidR="3B9F21E9" w:rsidRPr="077C6266">
              <w:rPr>
                <w:rFonts w:ascii="Verdana" w:hAnsi="Verdana"/>
              </w:rPr>
              <w:t xml:space="preserve">have access to the results </w:t>
            </w:r>
            <w:r w:rsidR="6CDCF2A6" w:rsidRPr="077C6266">
              <w:rPr>
                <w:rFonts w:ascii="Verdana" w:hAnsi="Verdana"/>
              </w:rPr>
              <w:t xml:space="preserve">of any audit of the </w:t>
            </w:r>
            <w:r w:rsidR="49B6C180" w:rsidRPr="077C6266">
              <w:rPr>
                <w:rFonts w:ascii="Verdana" w:hAnsi="Verdana"/>
              </w:rPr>
              <w:t>BCRs.</w:t>
            </w:r>
            <w:r w:rsidR="062A171D" w:rsidRPr="077C6266">
              <w:rPr>
                <w:rFonts w:ascii="Verdana" w:hAnsi="Verdana"/>
              </w:rPr>
              <w:t xml:space="preserve"> </w:t>
            </w:r>
          </w:p>
          <w:p w14:paraId="13213CAF" w14:textId="77777777" w:rsidR="00840B4A" w:rsidRPr="00CD34E3" w:rsidRDefault="00840B4A" w:rsidP="00840B4A">
            <w:pPr>
              <w:pStyle w:val="Default"/>
              <w:ind w:left="720"/>
              <w:rPr>
                <w:rFonts w:ascii="Verdana" w:hAnsi="Verdana"/>
              </w:rPr>
            </w:pPr>
          </w:p>
          <w:p w14:paraId="651BDDE0" w14:textId="137A5F06" w:rsidR="00B977CB" w:rsidRPr="00CD34E3" w:rsidRDefault="2A58D48E" w:rsidP="009A5C63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>E</w:t>
            </w:r>
            <w:r w:rsidR="60FBF5FD" w:rsidRPr="077C6266">
              <w:rPr>
                <w:rFonts w:ascii="Verdana" w:hAnsi="Verdana"/>
              </w:rPr>
              <w:t xml:space="preserve">nsure any </w:t>
            </w:r>
            <w:r w:rsidR="6B430E11" w:rsidRPr="077C6266">
              <w:rPr>
                <w:rFonts w:ascii="Verdana" w:hAnsi="Verdana"/>
              </w:rPr>
              <w:t xml:space="preserve">reference to the BCR Lead SA </w:t>
            </w:r>
            <w:r w:rsidR="08C4F78A" w:rsidRPr="077C6266">
              <w:rPr>
                <w:rFonts w:ascii="Verdana" w:hAnsi="Verdana"/>
              </w:rPr>
              <w:t xml:space="preserve">is replaced with the </w:t>
            </w:r>
            <w:r w:rsidR="1C8CEE72" w:rsidRPr="077C6266">
              <w:rPr>
                <w:rFonts w:ascii="Verdana" w:hAnsi="Verdana"/>
              </w:rPr>
              <w:t xml:space="preserve">Information </w:t>
            </w:r>
            <w:r w:rsidR="08C4F78A" w:rsidRPr="077C6266">
              <w:rPr>
                <w:rFonts w:ascii="Verdana" w:hAnsi="Verdana"/>
              </w:rPr>
              <w:t>Commissioner</w:t>
            </w:r>
            <w:r w:rsidR="6B430E11" w:rsidRPr="077C6266">
              <w:rPr>
                <w:rFonts w:ascii="Verdana" w:hAnsi="Verdana"/>
              </w:rPr>
              <w:t>.</w:t>
            </w:r>
          </w:p>
        </w:tc>
        <w:tc>
          <w:tcPr>
            <w:tcW w:w="2224" w:type="dxa"/>
          </w:tcPr>
          <w:p w14:paraId="791BD3E8" w14:textId="77777777" w:rsidR="003B61DA" w:rsidRPr="00CD34E3" w:rsidRDefault="003B61DA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2D7FF1" w:rsidRPr="00CD34E3" w14:paraId="76ED7DB0" w14:textId="77777777" w:rsidTr="004E579A">
        <w:trPr>
          <w:trHeight w:val="350"/>
        </w:trPr>
        <w:tc>
          <w:tcPr>
            <w:tcW w:w="13948" w:type="dxa"/>
            <w:gridSpan w:val="6"/>
            <w:shd w:val="clear" w:color="auto" w:fill="D9D9D9" w:themeFill="background1" w:themeFillShade="D9"/>
          </w:tcPr>
          <w:p w14:paraId="7AF3D2DE" w14:textId="007F5491" w:rsidR="002D7FF1" w:rsidRPr="00CD34E3" w:rsidRDefault="002D7FF1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 xml:space="preserve">3. COOPERATION DUTY </w:t>
            </w:r>
          </w:p>
        </w:tc>
      </w:tr>
      <w:tr w:rsidR="00175696" w:rsidRPr="00CD34E3" w14:paraId="341466D2" w14:textId="77777777" w:rsidTr="077C6266">
        <w:tc>
          <w:tcPr>
            <w:tcW w:w="2070" w:type="dxa"/>
          </w:tcPr>
          <w:p w14:paraId="48DE156D" w14:textId="528A9823" w:rsidR="002D7FF1" w:rsidRPr="00CD34E3" w:rsidRDefault="44B76797" w:rsidP="002D7FF1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3.1. A duty to cooperate with </w:t>
            </w:r>
            <w:r w:rsidR="60601F47" w:rsidRPr="00CD34E3">
              <w:rPr>
                <w:rFonts w:ascii="Verdana" w:hAnsi="Verdana"/>
              </w:rPr>
              <w:t xml:space="preserve">the </w:t>
            </w:r>
            <w:r w:rsidR="00175696">
              <w:rPr>
                <w:rFonts w:ascii="Verdana" w:hAnsi="Verdana"/>
              </w:rPr>
              <w:t xml:space="preserve">Information </w:t>
            </w:r>
            <w:r w:rsidR="60601F47" w:rsidRPr="00CD34E3">
              <w:rPr>
                <w:rFonts w:ascii="Verdana" w:hAnsi="Verdana"/>
              </w:rPr>
              <w:t>Commissioner</w:t>
            </w:r>
            <w:r w:rsidRPr="00CD34E3">
              <w:rPr>
                <w:rFonts w:ascii="Verdana" w:hAnsi="Verdana"/>
              </w:rPr>
              <w:t>.</w:t>
            </w:r>
          </w:p>
        </w:tc>
        <w:tc>
          <w:tcPr>
            <w:tcW w:w="1769" w:type="dxa"/>
          </w:tcPr>
          <w:p w14:paraId="0AE8D1F0" w14:textId="33C53AFD" w:rsidR="002D7FF1" w:rsidRPr="00CD34E3" w:rsidRDefault="00D72733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104F710B" w14:textId="77777777" w:rsidR="00D72733" w:rsidRPr="00CD34E3" w:rsidRDefault="00D72733" w:rsidP="00D72733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36C91ABB" w14:textId="32296380" w:rsidR="00937995" w:rsidRPr="00CD34E3" w:rsidRDefault="00937995" w:rsidP="00A574EE">
            <w:pPr>
              <w:pStyle w:val="Default"/>
              <w:rPr>
                <w:rFonts w:ascii="Verdana" w:hAnsi="Verdana"/>
              </w:rPr>
            </w:pPr>
          </w:p>
          <w:p w14:paraId="6C62E888" w14:textId="77777777" w:rsidR="00A574EE" w:rsidRPr="00CD34E3" w:rsidRDefault="00A574EE" w:rsidP="00A574EE">
            <w:pPr>
              <w:pStyle w:val="Default"/>
              <w:rPr>
                <w:rFonts w:ascii="Verdana" w:hAnsi="Verdana"/>
              </w:rPr>
            </w:pPr>
          </w:p>
          <w:p w14:paraId="20CAA7C6" w14:textId="738E5214" w:rsidR="00A574EE" w:rsidRPr="00CD34E3" w:rsidRDefault="00A574EE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6D2D6E9A" w14:textId="49564AA7" w:rsidR="00D72733" w:rsidRPr="00CD34E3" w:rsidRDefault="345EDA0C" w:rsidP="00D72733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 xml:space="preserve">Art. 47.2.l. </w:t>
            </w:r>
            <w:r w:rsidR="481258C7" w:rsidRPr="6C8E5991">
              <w:rPr>
                <w:rFonts w:ascii="Verdana" w:hAnsi="Verdana"/>
              </w:rPr>
              <w:t>UK GDPR</w:t>
            </w:r>
          </w:p>
          <w:p w14:paraId="19932AA1" w14:textId="77777777" w:rsidR="002D7FF1" w:rsidRPr="00CD34E3" w:rsidRDefault="002D7FF1" w:rsidP="003B61D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3DD711D8" w14:textId="7A163303" w:rsidR="002D7FF1" w:rsidRPr="00CD34E3" w:rsidRDefault="1B75E65E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>There should be a duty to cooperate with the</w:t>
            </w:r>
            <w:r w:rsidR="32A67773" w:rsidRPr="077C6266">
              <w:rPr>
                <w:rFonts w:ascii="Verdana" w:hAnsi="Verdana"/>
              </w:rPr>
              <w:t xml:space="preserve"> Information</w:t>
            </w:r>
            <w:r w:rsidRPr="077C6266">
              <w:rPr>
                <w:rFonts w:ascii="Verdana" w:hAnsi="Verdana"/>
              </w:rPr>
              <w:t xml:space="preserve"> Commissioner. This should replace </w:t>
            </w:r>
            <w:r w:rsidR="690230C9" w:rsidRPr="077C6266">
              <w:rPr>
                <w:rFonts w:ascii="Verdana" w:hAnsi="Verdana"/>
              </w:rPr>
              <w:t>any duty</w:t>
            </w:r>
            <w:r w:rsidR="223DBC89" w:rsidRPr="077C6266">
              <w:rPr>
                <w:rFonts w:ascii="Verdana" w:hAnsi="Verdana"/>
              </w:rPr>
              <w:t xml:space="preserve"> to cooperate </w:t>
            </w:r>
            <w:r w:rsidR="1EB96923" w:rsidRPr="077C6266">
              <w:rPr>
                <w:rFonts w:ascii="Verdana" w:hAnsi="Verdana"/>
              </w:rPr>
              <w:t>with SAs</w:t>
            </w:r>
            <w:r w:rsidR="223DBC89" w:rsidRPr="077C6266">
              <w:rPr>
                <w:rFonts w:ascii="Verdana" w:hAnsi="Verdana"/>
              </w:rPr>
              <w:t xml:space="preserve"> based in the EEA.</w:t>
            </w:r>
          </w:p>
        </w:tc>
        <w:tc>
          <w:tcPr>
            <w:tcW w:w="2224" w:type="dxa"/>
          </w:tcPr>
          <w:p w14:paraId="7ED45D83" w14:textId="77777777" w:rsidR="002D7FF1" w:rsidRPr="00CD34E3" w:rsidRDefault="002D7FF1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68487064" w14:textId="77777777" w:rsidTr="077C6266">
        <w:tc>
          <w:tcPr>
            <w:tcW w:w="2070" w:type="dxa"/>
          </w:tcPr>
          <w:p w14:paraId="40FC4871" w14:textId="560614ED" w:rsidR="002D7FF1" w:rsidRPr="00CD34E3" w:rsidRDefault="008105E1" w:rsidP="002D7FF1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3.2 A duty to cooperate with the controller.</w:t>
            </w:r>
          </w:p>
        </w:tc>
        <w:tc>
          <w:tcPr>
            <w:tcW w:w="1769" w:type="dxa"/>
          </w:tcPr>
          <w:p w14:paraId="457ECD14" w14:textId="4CBE6831" w:rsidR="008105E1" w:rsidRPr="00CD34E3" w:rsidRDefault="4CD58BD0" w:rsidP="008105E1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YES (applicable only to BCR-P)</w:t>
            </w:r>
            <w:r w:rsidR="500358F1" w:rsidRPr="6C8E5991">
              <w:rPr>
                <w:rFonts w:ascii="Verdana" w:hAnsi="Verdana"/>
              </w:rPr>
              <w:t>.</w:t>
            </w:r>
            <w:r w:rsidRPr="6C8E5991">
              <w:rPr>
                <w:rFonts w:ascii="Verdana" w:hAnsi="Verdana"/>
              </w:rPr>
              <w:t xml:space="preserve"> </w:t>
            </w:r>
          </w:p>
          <w:p w14:paraId="2973FCA8" w14:textId="77777777" w:rsidR="002D7FF1" w:rsidRPr="00CD34E3" w:rsidRDefault="002D7FF1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831" w:type="dxa"/>
          </w:tcPr>
          <w:p w14:paraId="3766AD0A" w14:textId="4C253E5F" w:rsidR="002D7FF1" w:rsidRPr="00CD34E3" w:rsidRDefault="010175E2" w:rsidP="00806BC6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lastRenderedPageBreak/>
              <w:t xml:space="preserve">YES </w:t>
            </w:r>
          </w:p>
          <w:p w14:paraId="725D8C8E" w14:textId="77777777" w:rsidR="00227F14" w:rsidRPr="00CD34E3" w:rsidRDefault="00227F14" w:rsidP="008105E1">
            <w:pPr>
              <w:pStyle w:val="Default"/>
              <w:rPr>
                <w:rFonts w:ascii="Verdana" w:hAnsi="Verdana"/>
              </w:rPr>
            </w:pPr>
          </w:p>
          <w:p w14:paraId="61B07832" w14:textId="39BC2CF1" w:rsidR="00227F14" w:rsidRPr="00CD34E3" w:rsidRDefault="00227F14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49FFF4B9" w14:textId="0AFA9D13" w:rsidR="00227F14" w:rsidRPr="00CD34E3" w:rsidRDefault="00227F14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4535" w:type="dxa"/>
          </w:tcPr>
          <w:p w14:paraId="7B5C3FE2" w14:textId="274C1642" w:rsidR="002D7FF1" w:rsidRPr="00CD34E3" w:rsidRDefault="17A94384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 xml:space="preserve">There should be a duty to cooperate with the </w:t>
            </w:r>
            <w:r w:rsidR="5321FA10" w:rsidRPr="077C6266">
              <w:rPr>
                <w:rFonts w:ascii="Verdana" w:hAnsi="Verdana"/>
              </w:rPr>
              <w:t>controller</w:t>
            </w:r>
            <w:r w:rsidR="75A59BD7" w:rsidRPr="077C6266">
              <w:rPr>
                <w:rFonts w:ascii="Verdana" w:hAnsi="Verdana"/>
              </w:rPr>
              <w:t xml:space="preserve"> in relation to any enqui</w:t>
            </w:r>
            <w:r w:rsidR="6EEDDEEA" w:rsidRPr="077C6266">
              <w:rPr>
                <w:rFonts w:ascii="Verdana" w:hAnsi="Verdana"/>
              </w:rPr>
              <w:t xml:space="preserve">ry or </w:t>
            </w:r>
            <w:r w:rsidR="75A59BD7" w:rsidRPr="077C6266">
              <w:rPr>
                <w:rFonts w:ascii="Verdana" w:hAnsi="Verdana"/>
              </w:rPr>
              <w:lastRenderedPageBreak/>
              <w:t xml:space="preserve">investigation from the </w:t>
            </w:r>
            <w:r w:rsidR="30CB04A1" w:rsidRPr="077C6266">
              <w:rPr>
                <w:rFonts w:ascii="Verdana" w:hAnsi="Verdana"/>
              </w:rPr>
              <w:t xml:space="preserve">Information </w:t>
            </w:r>
            <w:r w:rsidR="75A59BD7" w:rsidRPr="077C6266">
              <w:rPr>
                <w:rFonts w:ascii="Verdana" w:hAnsi="Verdana"/>
              </w:rPr>
              <w:t>C</w:t>
            </w:r>
            <w:r w:rsidR="19E581AA" w:rsidRPr="077C6266">
              <w:rPr>
                <w:rFonts w:ascii="Verdana" w:hAnsi="Verdana"/>
              </w:rPr>
              <w:t>o</w:t>
            </w:r>
            <w:r w:rsidR="75A59BD7" w:rsidRPr="077C6266">
              <w:rPr>
                <w:rFonts w:ascii="Verdana" w:hAnsi="Verdana"/>
              </w:rPr>
              <w:t>mmissioner</w:t>
            </w:r>
            <w:r w:rsidR="1CE668A4" w:rsidRPr="077C6266">
              <w:rPr>
                <w:rFonts w:ascii="Verdana" w:hAnsi="Verdana"/>
              </w:rPr>
              <w:t>.</w:t>
            </w:r>
          </w:p>
        </w:tc>
        <w:tc>
          <w:tcPr>
            <w:tcW w:w="2224" w:type="dxa"/>
          </w:tcPr>
          <w:p w14:paraId="1D0BC9C6" w14:textId="77777777" w:rsidR="002D7FF1" w:rsidRPr="00CD34E3" w:rsidRDefault="002D7FF1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8150FA" w:rsidRPr="00CD34E3" w14:paraId="2731B04B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1DA6E87C" w14:textId="511814E0" w:rsidR="008150FA" w:rsidRPr="00CD34E3" w:rsidRDefault="008150F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4. DESCRIPTION OF PROCESSING AND DATA FLOWS</w:t>
            </w:r>
          </w:p>
        </w:tc>
      </w:tr>
      <w:tr w:rsidR="00175696" w:rsidRPr="00CD34E3" w14:paraId="5CF9F68D" w14:textId="77777777" w:rsidTr="077C6266">
        <w:tc>
          <w:tcPr>
            <w:tcW w:w="2070" w:type="dxa"/>
          </w:tcPr>
          <w:p w14:paraId="346507D9" w14:textId="172DA62A" w:rsidR="008105E1" w:rsidRPr="00CD34E3" w:rsidRDefault="5E7C80FB" w:rsidP="6C8E5991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 xml:space="preserve">4.1. A description of the material scope of the BCRs (nature of data transferred, type of data subjects, countries). </w:t>
            </w:r>
          </w:p>
        </w:tc>
        <w:tc>
          <w:tcPr>
            <w:tcW w:w="1769" w:type="dxa"/>
          </w:tcPr>
          <w:p w14:paraId="22EAE57A" w14:textId="3E6F7489" w:rsidR="008105E1" w:rsidRPr="00CD34E3" w:rsidRDefault="008150F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07456494" w14:textId="77777777" w:rsidR="008105E1" w:rsidRPr="00CD34E3" w:rsidRDefault="008150FA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4A56AF6E" w14:textId="414F9DB8" w:rsidR="009F05DC" w:rsidRPr="00CD34E3" w:rsidRDefault="009F05DC" w:rsidP="00F32032">
            <w:pPr>
              <w:pStyle w:val="Default"/>
              <w:rPr>
                <w:rFonts w:ascii="Verdana" w:hAnsi="Verdana"/>
              </w:rPr>
            </w:pPr>
          </w:p>
          <w:p w14:paraId="3BDF473A" w14:textId="77777777" w:rsidR="00852FBB" w:rsidRPr="00CD34E3" w:rsidRDefault="00852FBB" w:rsidP="00F32032">
            <w:pPr>
              <w:pStyle w:val="Default"/>
              <w:rPr>
                <w:rFonts w:ascii="Verdana" w:hAnsi="Verdana"/>
              </w:rPr>
            </w:pPr>
          </w:p>
          <w:p w14:paraId="28724466" w14:textId="47BC4D41" w:rsidR="00852FBB" w:rsidRPr="00CD34E3" w:rsidRDefault="00852FBB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42B6D70B" w14:textId="2F048F59" w:rsidR="008105E1" w:rsidRPr="00CD34E3" w:rsidRDefault="2A75A6B7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47.2.b </w:t>
            </w:r>
            <w:r w:rsidR="21AB5078" w:rsidRPr="00CD34E3">
              <w:rPr>
                <w:rFonts w:ascii="Verdana" w:hAnsi="Verdana"/>
              </w:rPr>
              <w:t>UK</w:t>
            </w:r>
            <w:r w:rsidR="469D85F1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</w:tc>
        <w:tc>
          <w:tcPr>
            <w:tcW w:w="4535" w:type="dxa"/>
          </w:tcPr>
          <w:p w14:paraId="7B64A09A" w14:textId="2466C5EC" w:rsidR="008105E1" w:rsidRPr="00CD34E3" w:rsidRDefault="2A75A6B7" w:rsidP="0B21B611">
            <w:pPr>
              <w:pStyle w:val="Default"/>
              <w:numPr>
                <w:ilvl w:val="0"/>
                <w:numId w:val="8"/>
              </w:numPr>
              <w:rPr>
                <w:rFonts w:ascii="Verdana" w:eastAsiaTheme="minorEastAsia" w:hAnsi="Verdana" w:cstheme="minorBidi"/>
                <w:color w:val="000000" w:themeColor="text1"/>
              </w:rPr>
            </w:pPr>
            <w:r w:rsidRPr="00CD34E3">
              <w:rPr>
                <w:rFonts w:ascii="Verdana" w:hAnsi="Verdana"/>
              </w:rPr>
              <w:t xml:space="preserve">Add </w:t>
            </w:r>
            <w:r w:rsidR="61F823EF" w:rsidRPr="00CD34E3">
              <w:rPr>
                <w:rFonts w:ascii="Verdana" w:hAnsi="Verdana"/>
              </w:rPr>
              <w:t>EEA</w:t>
            </w:r>
            <w:r w:rsidRPr="00CD34E3">
              <w:rPr>
                <w:rFonts w:ascii="Verdana" w:hAnsi="Verdana"/>
              </w:rPr>
              <w:t xml:space="preserve"> </w:t>
            </w:r>
            <w:r w:rsidR="039AD81D" w:rsidRPr="00CD34E3">
              <w:rPr>
                <w:rFonts w:ascii="Verdana" w:hAnsi="Verdana"/>
              </w:rPr>
              <w:t xml:space="preserve">countries </w:t>
            </w:r>
            <w:r w:rsidRPr="00CD34E3">
              <w:rPr>
                <w:rFonts w:ascii="Verdana" w:hAnsi="Verdana"/>
              </w:rPr>
              <w:t xml:space="preserve">to the list of third countries to which personal data will be transferred (if applicable) and remove </w:t>
            </w:r>
            <w:r w:rsidR="77F9FE11" w:rsidRPr="00CD34E3">
              <w:rPr>
                <w:rFonts w:ascii="Verdana" w:hAnsi="Verdana"/>
              </w:rPr>
              <w:t>EEA entities</w:t>
            </w:r>
            <w:r w:rsidRPr="00CD34E3">
              <w:rPr>
                <w:rFonts w:ascii="Verdana" w:hAnsi="Verdana"/>
              </w:rPr>
              <w:t xml:space="preserve"> from the list of exporters.</w:t>
            </w:r>
          </w:p>
        </w:tc>
        <w:tc>
          <w:tcPr>
            <w:tcW w:w="2224" w:type="dxa"/>
          </w:tcPr>
          <w:p w14:paraId="5E722B74" w14:textId="71EBE933" w:rsidR="008105E1" w:rsidRPr="00CD34E3" w:rsidRDefault="008105E1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704B9972" w14:textId="77777777" w:rsidTr="077C6266">
        <w:tc>
          <w:tcPr>
            <w:tcW w:w="2070" w:type="dxa"/>
          </w:tcPr>
          <w:p w14:paraId="32AEE3F1" w14:textId="10DBD643" w:rsidR="008105E1" w:rsidRPr="00CD34E3" w:rsidRDefault="00E62076" w:rsidP="002D7FF1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4.2. A statement of the geographical scope of the BCRs.</w:t>
            </w:r>
          </w:p>
        </w:tc>
        <w:tc>
          <w:tcPr>
            <w:tcW w:w="1769" w:type="dxa"/>
          </w:tcPr>
          <w:p w14:paraId="7A6B5510" w14:textId="05812ABF" w:rsidR="008105E1" w:rsidRPr="00CD34E3" w:rsidRDefault="00E62076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47D8E86D" w14:textId="04D3E499" w:rsidR="00E62076" w:rsidRPr="00CD34E3" w:rsidRDefault="00E62076" w:rsidP="00E62076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4FF57B5A" w14:textId="77777777" w:rsidR="00CD648B" w:rsidRPr="00CD34E3" w:rsidRDefault="00CD648B" w:rsidP="00E62076">
            <w:pPr>
              <w:pStyle w:val="Default"/>
              <w:rPr>
                <w:rFonts w:ascii="Verdana" w:hAnsi="Verdana"/>
              </w:rPr>
            </w:pPr>
          </w:p>
          <w:p w14:paraId="2A83E151" w14:textId="1831CD97" w:rsidR="0075013A" w:rsidRPr="00CD34E3" w:rsidRDefault="0075013A" w:rsidP="00E62076">
            <w:pPr>
              <w:pStyle w:val="Default"/>
              <w:rPr>
                <w:rFonts w:ascii="Verdana" w:hAnsi="Verdana"/>
              </w:rPr>
            </w:pPr>
          </w:p>
          <w:p w14:paraId="02AB2FB7" w14:textId="01C461D3" w:rsidR="0075013A" w:rsidRPr="00CD34E3" w:rsidRDefault="0075013A" w:rsidP="063E4A9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7C523E58" w14:textId="4418DD92" w:rsidR="008105E1" w:rsidRPr="00CD34E3" w:rsidRDefault="4F153C24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47.2.a </w:t>
            </w:r>
            <w:r w:rsidR="757EFD80" w:rsidRPr="00CD34E3">
              <w:rPr>
                <w:rFonts w:ascii="Verdana" w:hAnsi="Verdana"/>
              </w:rPr>
              <w:t>UK</w:t>
            </w:r>
            <w:r w:rsidR="509E59DF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</w:tc>
        <w:tc>
          <w:tcPr>
            <w:tcW w:w="4535" w:type="dxa"/>
          </w:tcPr>
          <w:p w14:paraId="6BF1E2E0" w14:textId="77777777" w:rsidR="008105E1" w:rsidRDefault="626CFDB7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Add </w:t>
            </w:r>
            <w:r w:rsidR="66B0F2C3" w:rsidRPr="00CD34E3">
              <w:rPr>
                <w:rFonts w:ascii="Verdana" w:hAnsi="Verdana"/>
              </w:rPr>
              <w:t xml:space="preserve">EEA </w:t>
            </w:r>
            <w:r w:rsidR="4B0E1156" w:rsidRPr="00CD34E3">
              <w:rPr>
                <w:rFonts w:ascii="Verdana" w:hAnsi="Verdana"/>
              </w:rPr>
              <w:t xml:space="preserve">countries </w:t>
            </w:r>
            <w:r w:rsidRPr="00CD34E3">
              <w:rPr>
                <w:rFonts w:ascii="Verdana" w:hAnsi="Verdana"/>
              </w:rPr>
              <w:t xml:space="preserve">to the list of third countries and remove </w:t>
            </w:r>
            <w:r w:rsidR="4B0E1156" w:rsidRPr="00CD34E3">
              <w:rPr>
                <w:rFonts w:ascii="Verdana" w:hAnsi="Verdana"/>
              </w:rPr>
              <w:t>EEA</w:t>
            </w:r>
            <w:r w:rsidRPr="00CD34E3">
              <w:rPr>
                <w:rFonts w:ascii="Verdana" w:hAnsi="Verdana"/>
              </w:rPr>
              <w:t xml:space="preserve"> entities from the list of exporters.</w:t>
            </w:r>
          </w:p>
          <w:p w14:paraId="54727FE1" w14:textId="77777777" w:rsidR="004E579A" w:rsidRDefault="004E579A" w:rsidP="004E579A">
            <w:pPr>
              <w:pStyle w:val="Default"/>
              <w:ind w:left="720"/>
              <w:rPr>
                <w:rFonts w:ascii="Verdana" w:hAnsi="Verdana"/>
              </w:rPr>
            </w:pPr>
          </w:p>
          <w:p w14:paraId="7A92CB10" w14:textId="77777777" w:rsidR="004E579A" w:rsidRDefault="004E579A" w:rsidP="004E579A">
            <w:pPr>
              <w:pStyle w:val="Default"/>
              <w:ind w:left="720"/>
              <w:rPr>
                <w:rFonts w:ascii="Verdana" w:hAnsi="Verdana"/>
              </w:rPr>
            </w:pPr>
          </w:p>
          <w:p w14:paraId="7A2E9F04" w14:textId="6C853187" w:rsidR="004E579A" w:rsidRPr="00CD34E3" w:rsidRDefault="004E579A" w:rsidP="004E579A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224" w:type="dxa"/>
          </w:tcPr>
          <w:p w14:paraId="699766B2" w14:textId="77777777" w:rsidR="008105E1" w:rsidRPr="00CD34E3" w:rsidRDefault="008105E1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D97F3F" w:rsidRPr="00CD34E3" w14:paraId="61D5D1ED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43990EB3" w14:textId="4440F031" w:rsidR="00D97F3F" w:rsidRPr="00CD34E3" w:rsidRDefault="00D97F3F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  <w:b/>
                <w:bCs/>
              </w:rPr>
              <w:t>5. MECHANISMS FOR REPORTING AND RECORDING CHANGES</w:t>
            </w:r>
          </w:p>
        </w:tc>
      </w:tr>
      <w:tr w:rsidR="00175696" w:rsidRPr="00CD34E3" w14:paraId="4BA08440" w14:textId="77777777" w:rsidTr="077C6266">
        <w:tc>
          <w:tcPr>
            <w:tcW w:w="2070" w:type="dxa"/>
          </w:tcPr>
          <w:p w14:paraId="43EA7129" w14:textId="54064AF5" w:rsidR="008105E1" w:rsidRPr="00CD34E3" w:rsidRDefault="5185F49C" w:rsidP="6C8E5991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lastRenderedPageBreak/>
              <w:t xml:space="preserve">5.1. A process for updating the BCRs. </w:t>
            </w:r>
          </w:p>
        </w:tc>
        <w:tc>
          <w:tcPr>
            <w:tcW w:w="1769" w:type="dxa"/>
          </w:tcPr>
          <w:p w14:paraId="14040F68" w14:textId="46283564" w:rsidR="008105E1" w:rsidRPr="00CD34E3" w:rsidRDefault="00037055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1EA6F779" w14:textId="77777777" w:rsidR="008105E1" w:rsidRPr="00CD34E3" w:rsidRDefault="00037055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6C89B260" w14:textId="4F1FD1DB" w:rsidR="000E4D37" w:rsidRPr="00CD34E3" w:rsidRDefault="000E4D37" w:rsidP="00037055">
            <w:pPr>
              <w:pStyle w:val="Default"/>
              <w:rPr>
                <w:rFonts w:ascii="Verdana" w:hAnsi="Verdana"/>
              </w:rPr>
            </w:pPr>
          </w:p>
          <w:p w14:paraId="7ACFD6A1" w14:textId="2970733F" w:rsidR="00037055" w:rsidRPr="00CD34E3" w:rsidRDefault="00037055" w:rsidP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1269D421" w14:textId="5C837BEF" w:rsidR="008105E1" w:rsidRPr="00CD34E3" w:rsidRDefault="3B5BA2E2" w:rsidP="003B61DA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 xml:space="preserve">Art. 47.2.k </w:t>
            </w:r>
            <w:r w:rsidR="18686287" w:rsidRPr="6C8E5991">
              <w:rPr>
                <w:rFonts w:ascii="Verdana" w:hAnsi="Verdana"/>
              </w:rPr>
              <w:t>UK</w:t>
            </w:r>
            <w:r w:rsidR="0FDBBC7D" w:rsidRPr="6C8E5991">
              <w:rPr>
                <w:rFonts w:ascii="Verdana" w:hAnsi="Verdana"/>
              </w:rPr>
              <w:t xml:space="preserve"> </w:t>
            </w:r>
            <w:r w:rsidRPr="6C8E5991">
              <w:rPr>
                <w:rFonts w:ascii="Verdana" w:hAnsi="Verdana"/>
              </w:rPr>
              <w:t xml:space="preserve">GDPR </w:t>
            </w:r>
          </w:p>
        </w:tc>
        <w:tc>
          <w:tcPr>
            <w:tcW w:w="4535" w:type="dxa"/>
          </w:tcPr>
          <w:p w14:paraId="00FBB05D" w14:textId="624D42E2" w:rsidR="008105E1" w:rsidRPr="00CD34E3" w:rsidRDefault="15C50737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 xml:space="preserve">Replace any reference to the BCR Lead SA (in the </w:t>
            </w:r>
            <w:r w:rsidR="1BCDA9DD" w:rsidRPr="077C6266">
              <w:rPr>
                <w:rFonts w:ascii="Verdana" w:hAnsi="Verdana"/>
              </w:rPr>
              <w:t>EEA</w:t>
            </w:r>
            <w:r w:rsidRPr="077C6266">
              <w:rPr>
                <w:rFonts w:ascii="Verdana" w:hAnsi="Verdana"/>
              </w:rPr>
              <w:t xml:space="preserve">) with the </w:t>
            </w:r>
            <w:r w:rsidR="1BC1D0A6" w:rsidRPr="077C6266">
              <w:rPr>
                <w:rFonts w:ascii="Verdana" w:hAnsi="Verdana"/>
              </w:rPr>
              <w:t xml:space="preserve">Information </w:t>
            </w:r>
            <w:r w:rsidR="1BCDA9DD" w:rsidRPr="077C6266">
              <w:rPr>
                <w:rFonts w:ascii="Verdana" w:hAnsi="Verdana"/>
              </w:rPr>
              <w:t>Commissioner.</w:t>
            </w:r>
          </w:p>
        </w:tc>
        <w:tc>
          <w:tcPr>
            <w:tcW w:w="2224" w:type="dxa"/>
          </w:tcPr>
          <w:p w14:paraId="52A98001" w14:textId="77777777" w:rsidR="008105E1" w:rsidRPr="00CD34E3" w:rsidRDefault="008105E1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D94770" w:rsidRPr="00CD34E3" w14:paraId="155929B1" w14:textId="77777777" w:rsidTr="077C6266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4A1B5358" w14:textId="0269387B" w:rsidR="00D94770" w:rsidRPr="004E579A" w:rsidRDefault="00D94770" w:rsidP="00F32032">
            <w:pPr>
              <w:pStyle w:val="Default"/>
              <w:rPr>
                <w:rFonts w:ascii="Verdana" w:hAnsi="Verdana"/>
                <w:b/>
                <w:bCs/>
              </w:rPr>
            </w:pPr>
            <w:r w:rsidRPr="004E579A">
              <w:rPr>
                <w:rFonts w:ascii="Verdana" w:hAnsi="Verdana"/>
                <w:b/>
                <w:bCs/>
              </w:rPr>
              <w:t>6. DATA PROTECTION SAFEGUARDS</w:t>
            </w:r>
          </w:p>
        </w:tc>
      </w:tr>
      <w:tr w:rsidR="00175696" w:rsidRPr="00CD34E3" w14:paraId="2E6B0637" w14:textId="77777777" w:rsidTr="077C6266">
        <w:tc>
          <w:tcPr>
            <w:tcW w:w="2070" w:type="dxa"/>
          </w:tcPr>
          <w:p w14:paraId="51616CD5" w14:textId="3D152D2E" w:rsidR="00D97F3F" w:rsidRPr="00CD34E3" w:rsidRDefault="4ACB9A8D" w:rsidP="002D7FF1">
            <w:pPr>
              <w:pStyle w:val="Default"/>
              <w:rPr>
                <w:rFonts w:ascii="Verdana" w:hAnsi="Verdana"/>
              </w:rPr>
            </w:pPr>
            <w:r w:rsidRPr="6C8E5991">
              <w:rPr>
                <w:rFonts w:ascii="Verdana" w:hAnsi="Verdana"/>
              </w:rPr>
              <w:t>6.1.2. Accountability and other tools.</w:t>
            </w:r>
          </w:p>
        </w:tc>
        <w:tc>
          <w:tcPr>
            <w:tcW w:w="1769" w:type="dxa"/>
          </w:tcPr>
          <w:p w14:paraId="219918BF" w14:textId="6DE9245D" w:rsidR="00D97F3F" w:rsidRPr="00CD34E3" w:rsidRDefault="00D26290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27BBCD77" w14:textId="77777777" w:rsidR="00D26290" w:rsidRPr="00CD34E3" w:rsidRDefault="00D26290" w:rsidP="00D26290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  <w:p w14:paraId="09572A69" w14:textId="77B78AAF" w:rsidR="00D97F3F" w:rsidRPr="00CD34E3" w:rsidRDefault="00D97F3F" w:rsidP="00D26290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519" w:type="dxa"/>
          </w:tcPr>
          <w:p w14:paraId="7002BB82" w14:textId="4C991DBC" w:rsidR="00D97F3F" w:rsidRPr="00CD34E3" w:rsidRDefault="442027E5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47.2.d and Art. 30 </w:t>
            </w:r>
            <w:r w:rsidR="7F7486A0" w:rsidRPr="00CD34E3">
              <w:rPr>
                <w:rFonts w:ascii="Verdana" w:hAnsi="Verdana"/>
              </w:rPr>
              <w:t>UK</w:t>
            </w:r>
            <w:r w:rsidR="4D762208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</w:tc>
        <w:tc>
          <w:tcPr>
            <w:tcW w:w="4535" w:type="dxa"/>
          </w:tcPr>
          <w:p w14:paraId="33E0615D" w14:textId="4A8FBB94" w:rsidR="00D97F3F" w:rsidRPr="00CD34E3" w:rsidRDefault="0018821E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>Replace any</w:t>
            </w:r>
            <w:r w:rsidR="43DDBB5A" w:rsidRPr="077C6266">
              <w:rPr>
                <w:rFonts w:ascii="Verdana" w:hAnsi="Verdana"/>
              </w:rPr>
              <w:t xml:space="preserve"> reference to SAs</w:t>
            </w:r>
            <w:r w:rsidR="08E81671" w:rsidRPr="077C6266">
              <w:rPr>
                <w:rFonts w:ascii="Verdana" w:hAnsi="Verdana"/>
              </w:rPr>
              <w:t xml:space="preserve"> with the </w:t>
            </w:r>
            <w:r w:rsidR="644FAA1C" w:rsidRPr="077C6266">
              <w:rPr>
                <w:rFonts w:ascii="Verdana" w:hAnsi="Verdana"/>
              </w:rPr>
              <w:t xml:space="preserve">Information </w:t>
            </w:r>
            <w:r w:rsidR="08E81671" w:rsidRPr="077C6266">
              <w:rPr>
                <w:rFonts w:ascii="Verdana" w:hAnsi="Verdana"/>
              </w:rPr>
              <w:t>Commissioner</w:t>
            </w:r>
            <w:r w:rsidR="43DDBB5A" w:rsidRPr="077C6266">
              <w:rPr>
                <w:rFonts w:ascii="Verdana" w:hAnsi="Verdana"/>
              </w:rPr>
              <w:t>.</w:t>
            </w:r>
          </w:p>
        </w:tc>
        <w:tc>
          <w:tcPr>
            <w:tcW w:w="2224" w:type="dxa"/>
          </w:tcPr>
          <w:p w14:paraId="4203FF6E" w14:textId="77777777" w:rsidR="00D97F3F" w:rsidRPr="00CD34E3" w:rsidRDefault="00D97F3F" w:rsidP="00F32032">
            <w:pPr>
              <w:pStyle w:val="Default"/>
              <w:rPr>
                <w:rFonts w:ascii="Verdana" w:hAnsi="Verdana"/>
              </w:rPr>
            </w:pPr>
          </w:p>
        </w:tc>
      </w:tr>
      <w:tr w:rsidR="00175696" w:rsidRPr="00CD34E3" w14:paraId="5A29276F" w14:textId="77777777" w:rsidTr="077C6266">
        <w:tc>
          <w:tcPr>
            <w:tcW w:w="2070" w:type="dxa"/>
          </w:tcPr>
          <w:p w14:paraId="664012A9" w14:textId="3CEB1492" w:rsidR="00D97F3F" w:rsidRPr="00CD34E3" w:rsidRDefault="00E608F5" w:rsidP="002D7FF1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6.3. A need to be transparent where national legislation prevents the group from complying with the BCRs.</w:t>
            </w:r>
          </w:p>
        </w:tc>
        <w:tc>
          <w:tcPr>
            <w:tcW w:w="1769" w:type="dxa"/>
          </w:tcPr>
          <w:p w14:paraId="4318BA88" w14:textId="527C027D" w:rsidR="00D97F3F" w:rsidRPr="00CD34E3" w:rsidRDefault="00E608F5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YES</w:t>
            </w:r>
          </w:p>
        </w:tc>
        <w:tc>
          <w:tcPr>
            <w:tcW w:w="1831" w:type="dxa"/>
          </w:tcPr>
          <w:p w14:paraId="26B8C4C8" w14:textId="754B8A00" w:rsidR="00D97F3F" w:rsidRPr="00CD34E3" w:rsidRDefault="00E608F5" w:rsidP="00F32032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>NO</w:t>
            </w:r>
          </w:p>
        </w:tc>
        <w:tc>
          <w:tcPr>
            <w:tcW w:w="1519" w:type="dxa"/>
          </w:tcPr>
          <w:p w14:paraId="1961EA2D" w14:textId="19CB92F8" w:rsidR="00D97F3F" w:rsidRPr="00CD34E3" w:rsidRDefault="32BF2D40" w:rsidP="003B61DA">
            <w:pPr>
              <w:pStyle w:val="Default"/>
              <w:rPr>
                <w:rFonts w:ascii="Verdana" w:hAnsi="Verdana"/>
              </w:rPr>
            </w:pPr>
            <w:r w:rsidRPr="00CD34E3">
              <w:rPr>
                <w:rFonts w:ascii="Verdana" w:hAnsi="Verdana"/>
              </w:rPr>
              <w:t xml:space="preserve">Art. 47.2.m </w:t>
            </w:r>
            <w:r w:rsidR="7F7486A0" w:rsidRPr="00CD34E3">
              <w:rPr>
                <w:rFonts w:ascii="Verdana" w:hAnsi="Verdana"/>
              </w:rPr>
              <w:t>UK</w:t>
            </w:r>
            <w:r w:rsidR="317985BC" w:rsidRPr="00CD34E3">
              <w:rPr>
                <w:rFonts w:ascii="Verdana" w:hAnsi="Verdana"/>
              </w:rPr>
              <w:t xml:space="preserve"> </w:t>
            </w:r>
            <w:r w:rsidRPr="00CD34E3">
              <w:rPr>
                <w:rFonts w:ascii="Verdana" w:hAnsi="Verdana"/>
              </w:rPr>
              <w:t>GDPR</w:t>
            </w:r>
          </w:p>
        </w:tc>
        <w:tc>
          <w:tcPr>
            <w:tcW w:w="4535" w:type="dxa"/>
          </w:tcPr>
          <w:p w14:paraId="5C6178B1" w14:textId="36CFB64E" w:rsidR="00D97F3F" w:rsidRPr="00CD34E3" w:rsidRDefault="2067AB66" w:rsidP="003B61DA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77C6266">
              <w:rPr>
                <w:rFonts w:ascii="Verdana" w:hAnsi="Verdana"/>
              </w:rPr>
              <w:t xml:space="preserve">Ensure that the reporting duty will be made </w:t>
            </w:r>
            <w:r w:rsidR="2B659B41" w:rsidRPr="077C6266">
              <w:rPr>
                <w:rFonts w:ascii="Verdana" w:hAnsi="Verdana"/>
              </w:rPr>
              <w:t>to the</w:t>
            </w:r>
            <w:r w:rsidR="2813827A" w:rsidRPr="077C6266">
              <w:rPr>
                <w:rFonts w:ascii="Verdana" w:hAnsi="Verdana"/>
              </w:rPr>
              <w:t xml:space="preserve"> </w:t>
            </w:r>
            <w:r w:rsidR="548E9D6F" w:rsidRPr="077C6266">
              <w:rPr>
                <w:rFonts w:ascii="Verdana" w:hAnsi="Verdana"/>
              </w:rPr>
              <w:t xml:space="preserve">Information </w:t>
            </w:r>
            <w:r w:rsidR="2813827A" w:rsidRPr="077C6266">
              <w:rPr>
                <w:rFonts w:ascii="Verdana" w:hAnsi="Verdana"/>
              </w:rPr>
              <w:t>Commissioner</w:t>
            </w:r>
            <w:r w:rsidRPr="077C6266">
              <w:rPr>
                <w:rFonts w:ascii="Verdana" w:hAnsi="Verdana"/>
              </w:rPr>
              <w:t>.</w:t>
            </w:r>
          </w:p>
        </w:tc>
        <w:tc>
          <w:tcPr>
            <w:tcW w:w="2224" w:type="dxa"/>
          </w:tcPr>
          <w:p w14:paraId="22600EEC" w14:textId="77777777" w:rsidR="00D97F3F" w:rsidRPr="00CD34E3" w:rsidRDefault="00D97F3F" w:rsidP="00F32032">
            <w:pPr>
              <w:pStyle w:val="Default"/>
              <w:rPr>
                <w:rFonts w:ascii="Verdana" w:hAnsi="Verdana"/>
              </w:rPr>
            </w:pPr>
          </w:p>
        </w:tc>
      </w:tr>
    </w:tbl>
    <w:p w14:paraId="1831584C" w14:textId="38150798" w:rsidR="004E579A" w:rsidRDefault="004E579A" w:rsidP="00F32032">
      <w:pPr>
        <w:pStyle w:val="Default"/>
        <w:rPr>
          <w:rFonts w:ascii="Verdana" w:hAnsi="Verdana"/>
        </w:rPr>
      </w:pPr>
    </w:p>
    <w:p w14:paraId="19D11D99" w14:textId="06694616" w:rsidR="004E579A" w:rsidRDefault="004E579A" w:rsidP="00F32032">
      <w:pPr>
        <w:pStyle w:val="Default"/>
        <w:rPr>
          <w:rFonts w:ascii="Verdana" w:hAnsi="Verdana"/>
        </w:rPr>
      </w:pPr>
    </w:p>
    <w:p w14:paraId="0FB262C2" w14:textId="498358C2" w:rsidR="004E579A" w:rsidRDefault="004E579A" w:rsidP="00F32032">
      <w:pPr>
        <w:pStyle w:val="Default"/>
        <w:rPr>
          <w:rFonts w:ascii="Verdana" w:hAnsi="Verdana"/>
        </w:rPr>
      </w:pPr>
    </w:p>
    <w:p w14:paraId="4EF0F1BA" w14:textId="0C7651F4" w:rsidR="004E579A" w:rsidRDefault="004E579A" w:rsidP="00F32032">
      <w:pPr>
        <w:pStyle w:val="Default"/>
        <w:rPr>
          <w:rFonts w:ascii="Verdana" w:hAnsi="Verdana"/>
        </w:rPr>
      </w:pPr>
    </w:p>
    <w:p w14:paraId="3232A7E7" w14:textId="77777777" w:rsidR="004E579A" w:rsidRPr="00CD34E3" w:rsidRDefault="004E579A" w:rsidP="00F32032">
      <w:pPr>
        <w:pStyle w:val="Default"/>
        <w:rPr>
          <w:rFonts w:ascii="Verdana" w:hAnsi="Verdan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10"/>
        <w:gridCol w:w="1091"/>
        <w:gridCol w:w="1646"/>
        <w:gridCol w:w="1366"/>
        <w:gridCol w:w="1371"/>
        <w:gridCol w:w="909"/>
        <w:gridCol w:w="1828"/>
        <w:gridCol w:w="452"/>
        <w:gridCol w:w="2492"/>
      </w:tblGrid>
      <w:tr w:rsidR="00F32032" w:rsidRPr="00CD34E3" w14:paraId="2505DCA5" w14:textId="77777777" w:rsidTr="007C2D71">
        <w:trPr>
          <w:trHeight w:val="444"/>
        </w:trPr>
        <w:tc>
          <w:tcPr>
            <w:tcW w:w="2127" w:type="dxa"/>
          </w:tcPr>
          <w:p w14:paraId="2BD303A3" w14:textId="340237F8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701" w:type="dxa"/>
            <w:gridSpan w:val="2"/>
          </w:tcPr>
          <w:p w14:paraId="593F40AE" w14:textId="367438BD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3012" w:type="dxa"/>
            <w:gridSpan w:val="2"/>
          </w:tcPr>
          <w:p w14:paraId="6AA14374" w14:textId="082123A2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280" w:type="dxa"/>
            <w:gridSpan w:val="2"/>
          </w:tcPr>
          <w:p w14:paraId="47A596BA" w14:textId="1B8435A8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280" w:type="dxa"/>
            <w:gridSpan w:val="2"/>
          </w:tcPr>
          <w:p w14:paraId="36943264" w14:textId="7D26D525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492" w:type="dxa"/>
          </w:tcPr>
          <w:p w14:paraId="6E5DF17B" w14:textId="4A51DEA0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</w:tr>
      <w:tr w:rsidR="00F32032" w:rsidRPr="00CD34E3" w14:paraId="0F2E2C71" w14:textId="77777777" w:rsidTr="007C2D71">
        <w:trPr>
          <w:trHeight w:val="300"/>
        </w:trPr>
        <w:tc>
          <w:tcPr>
            <w:tcW w:w="13892" w:type="dxa"/>
            <w:gridSpan w:val="10"/>
          </w:tcPr>
          <w:p w14:paraId="07A44FD2" w14:textId="0F68483E" w:rsidR="00F32032" w:rsidRPr="00CD34E3" w:rsidRDefault="00F32032" w:rsidP="6C8E5991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173ED2E7" w14:textId="740ACE51" w:rsidR="00F32032" w:rsidRPr="00CD34E3" w:rsidRDefault="7DE8E6D9" w:rsidP="6C8E5991">
            <w:pPr>
              <w:pStyle w:val="Default"/>
              <w:rPr>
                <w:rFonts w:ascii="Verdana" w:hAnsi="Verdana"/>
                <w:b/>
                <w:bCs/>
              </w:rPr>
            </w:pPr>
            <w:r w:rsidRPr="6C8E5991">
              <w:rPr>
                <w:rFonts w:ascii="Verdana" w:hAnsi="Verdana"/>
                <w:b/>
                <w:bCs/>
              </w:rPr>
              <w:t>Additional Information</w:t>
            </w:r>
          </w:p>
          <w:p w14:paraId="4484B1F8" w14:textId="37AA350F" w:rsidR="00F32032" w:rsidRPr="00CD34E3" w:rsidRDefault="00F32032" w:rsidP="6C8E5991">
            <w:pPr>
              <w:pStyle w:val="Default"/>
              <w:rPr>
                <w:rFonts w:ascii="Verdana" w:hAnsi="Verdana"/>
                <w:b/>
                <w:bCs/>
              </w:rPr>
            </w:pPr>
          </w:p>
          <w:p w14:paraId="4E75F123" w14:textId="59A8C0DA" w:rsidR="00F81BE7" w:rsidRPr="00F81BE7" w:rsidRDefault="00F81BE7" w:rsidP="00F81B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F81BE7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Application form - redline version showing track changes </w:t>
            </w:r>
          </w:p>
          <w:p w14:paraId="69781BAE" w14:textId="76B12628" w:rsidR="00F32032" w:rsidRPr="00F81BE7" w:rsidRDefault="75504CFA" w:rsidP="00F81BE7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81BE7">
              <w:rPr>
                <w:rFonts w:ascii="Verdana" w:hAnsi="Verdana"/>
              </w:rPr>
              <w:t xml:space="preserve">Existing EU BCR </w:t>
            </w:r>
            <w:r w:rsidR="00F81BE7">
              <w:rPr>
                <w:rFonts w:ascii="Verdana" w:hAnsi="Verdana"/>
              </w:rPr>
              <w:t xml:space="preserve">- </w:t>
            </w:r>
            <w:r w:rsidRPr="00F81BE7">
              <w:rPr>
                <w:rFonts w:ascii="Verdana" w:hAnsi="Verdana"/>
              </w:rPr>
              <w:t xml:space="preserve">redline version showing tracked changes and clean </w:t>
            </w:r>
            <w:r w:rsidR="03E9C82F" w:rsidRPr="00F81BE7">
              <w:rPr>
                <w:rFonts w:ascii="Verdana" w:hAnsi="Verdana"/>
              </w:rPr>
              <w:t xml:space="preserve">standalone </w:t>
            </w:r>
            <w:r w:rsidRPr="00F81BE7">
              <w:rPr>
                <w:rFonts w:ascii="Verdana" w:hAnsi="Verdana"/>
              </w:rPr>
              <w:t>cop</w:t>
            </w:r>
            <w:r w:rsidR="15E84084" w:rsidRPr="00F81BE7">
              <w:rPr>
                <w:rFonts w:ascii="Verdana" w:hAnsi="Verdana"/>
              </w:rPr>
              <w:t>y</w:t>
            </w:r>
          </w:p>
          <w:p w14:paraId="7EC81BC0" w14:textId="2DA4DF5C" w:rsidR="00F32032" w:rsidRPr="00CD34E3" w:rsidRDefault="27D1BD55" w:rsidP="6C8E5991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C8E5991">
              <w:rPr>
                <w:rFonts w:ascii="Verdana" w:hAnsi="Verdana"/>
              </w:rPr>
              <w:t>Completed Requirements Table</w:t>
            </w:r>
          </w:p>
          <w:p w14:paraId="40F3FEF3" w14:textId="4B1C35EE" w:rsidR="55D82FAD" w:rsidRDefault="55D82FAD" w:rsidP="0B47653E">
            <w:pPr>
              <w:pStyle w:val="Default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47653E">
              <w:rPr>
                <w:rFonts w:ascii="Verdana" w:hAnsi="Verdana"/>
              </w:rPr>
              <w:t>Documentary evidence in support of binding mechanism specified in Section 2 above</w:t>
            </w:r>
          </w:p>
          <w:p w14:paraId="2A2A41C1" w14:textId="3BB481D8" w:rsidR="00F32032" w:rsidRPr="00CD34E3" w:rsidRDefault="00F32032" w:rsidP="6C8E5991">
            <w:pPr>
              <w:pStyle w:val="Default"/>
              <w:rPr>
                <w:rFonts w:ascii="Verdana" w:hAnsi="Verdana"/>
              </w:rPr>
            </w:pPr>
          </w:p>
          <w:p w14:paraId="6CEE5B37" w14:textId="345E6037" w:rsidR="00F32032" w:rsidRPr="00CD34E3" w:rsidRDefault="00F32032" w:rsidP="6C8E5991">
            <w:pPr>
              <w:pStyle w:val="Default"/>
              <w:rPr>
                <w:rFonts w:ascii="Verdana" w:hAnsi="Verdana"/>
              </w:rPr>
            </w:pPr>
          </w:p>
        </w:tc>
      </w:tr>
      <w:tr w:rsidR="00F32032" w:rsidRPr="00CD34E3" w14:paraId="54C04159" w14:textId="77777777" w:rsidTr="007C2D71">
        <w:trPr>
          <w:trHeight w:val="1658"/>
        </w:trPr>
        <w:tc>
          <w:tcPr>
            <w:tcW w:w="2737" w:type="dxa"/>
            <w:gridSpan w:val="2"/>
          </w:tcPr>
          <w:p w14:paraId="796BAE68" w14:textId="734E0657" w:rsidR="00F32032" w:rsidRPr="00CD34E3" w:rsidRDefault="00F32032" w:rsidP="6C8E5991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737" w:type="dxa"/>
            <w:gridSpan w:val="2"/>
          </w:tcPr>
          <w:p w14:paraId="5B6660D7" w14:textId="786743B8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737" w:type="dxa"/>
            <w:gridSpan w:val="2"/>
          </w:tcPr>
          <w:p w14:paraId="241839EC" w14:textId="1C221806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737" w:type="dxa"/>
            <w:gridSpan w:val="2"/>
          </w:tcPr>
          <w:p w14:paraId="5072E48E" w14:textId="431773E5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2944" w:type="dxa"/>
            <w:gridSpan w:val="2"/>
          </w:tcPr>
          <w:p w14:paraId="5B61DF4C" w14:textId="77777777" w:rsidR="00F32032" w:rsidRPr="00CD34E3" w:rsidRDefault="00F32032">
            <w:pPr>
              <w:pStyle w:val="Default"/>
              <w:rPr>
                <w:rFonts w:ascii="Verdana" w:hAnsi="Verdana"/>
              </w:rPr>
            </w:pPr>
          </w:p>
        </w:tc>
      </w:tr>
    </w:tbl>
    <w:p w14:paraId="7BD58ACC" w14:textId="77777777" w:rsidR="00F32032" w:rsidRPr="00CD34E3" w:rsidRDefault="00F32032">
      <w:pPr>
        <w:rPr>
          <w:rFonts w:ascii="Verdana" w:hAnsi="Verdana"/>
          <w:sz w:val="24"/>
          <w:szCs w:val="24"/>
        </w:rPr>
      </w:pPr>
    </w:p>
    <w:sectPr w:rsidR="00F32032" w:rsidRPr="00CD34E3" w:rsidSect="004E579A">
      <w:headerReference w:type="default" r:id="rId8"/>
      <w:footerReference w:type="default" r:id="rId9"/>
      <w:pgSz w:w="16838" w:h="11906" w:orient="landscape"/>
      <w:pgMar w:top="1702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196D3" w14:textId="77777777" w:rsidR="008E2CA6" w:rsidRDefault="008E2CA6">
      <w:pPr>
        <w:spacing w:after="0" w:line="240" w:lineRule="auto"/>
      </w:pPr>
      <w:r>
        <w:separator/>
      </w:r>
    </w:p>
  </w:endnote>
  <w:endnote w:type="continuationSeparator" w:id="0">
    <w:p w14:paraId="7D7C2652" w14:textId="77777777" w:rsidR="008E2CA6" w:rsidRDefault="008E2CA6">
      <w:pPr>
        <w:spacing w:after="0" w:line="240" w:lineRule="auto"/>
      </w:pPr>
      <w:r>
        <w:continuationSeparator/>
      </w:r>
    </w:p>
  </w:endnote>
  <w:endnote w:type="continuationNotice" w:id="1">
    <w:p w14:paraId="3A4219BB" w14:textId="77777777" w:rsidR="008E2CA6" w:rsidRDefault="008E2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0DB2DC5" w14:paraId="01E62A24" w14:textId="77777777" w:rsidTr="00175696">
      <w:tc>
        <w:tcPr>
          <w:tcW w:w="4650" w:type="dxa"/>
        </w:tcPr>
        <w:p w14:paraId="3EFE4D91" w14:textId="6DD19AA5" w:rsidR="30DB2DC5" w:rsidRDefault="30DB2DC5" w:rsidP="00175696">
          <w:pPr>
            <w:pStyle w:val="Header"/>
            <w:ind w:left="-115"/>
          </w:pPr>
        </w:p>
      </w:tc>
      <w:tc>
        <w:tcPr>
          <w:tcW w:w="4650" w:type="dxa"/>
        </w:tcPr>
        <w:p w14:paraId="768B1B2A" w14:textId="24B183B9" w:rsidR="30DB2DC5" w:rsidRDefault="30DB2DC5" w:rsidP="00175696">
          <w:pPr>
            <w:pStyle w:val="Header"/>
            <w:jc w:val="center"/>
          </w:pPr>
        </w:p>
      </w:tc>
      <w:tc>
        <w:tcPr>
          <w:tcW w:w="4650" w:type="dxa"/>
        </w:tcPr>
        <w:p w14:paraId="0FA76C01" w14:textId="012F1F4C" w:rsidR="30DB2DC5" w:rsidRDefault="30DB2DC5" w:rsidP="00175696">
          <w:pPr>
            <w:pStyle w:val="Header"/>
            <w:ind w:right="-115"/>
            <w:jc w:val="right"/>
          </w:pPr>
        </w:p>
      </w:tc>
    </w:tr>
  </w:tbl>
  <w:p w14:paraId="172FDE76" w14:textId="1F6F9B4A" w:rsidR="30DB2DC5" w:rsidRDefault="30DB2DC5" w:rsidP="0017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1823" w14:textId="77777777" w:rsidR="008E2CA6" w:rsidRDefault="008E2CA6">
      <w:pPr>
        <w:spacing w:after="0" w:line="240" w:lineRule="auto"/>
      </w:pPr>
      <w:r>
        <w:separator/>
      </w:r>
    </w:p>
  </w:footnote>
  <w:footnote w:type="continuationSeparator" w:id="0">
    <w:p w14:paraId="73F1BFF6" w14:textId="77777777" w:rsidR="008E2CA6" w:rsidRDefault="008E2CA6">
      <w:pPr>
        <w:spacing w:after="0" w:line="240" w:lineRule="auto"/>
      </w:pPr>
      <w:r>
        <w:continuationSeparator/>
      </w:r>
    </w:p>
  </w:footnote>
  <w:footnote w:type="continuationNotice" w:id="1">
    <w:p w14:paraId="6395B8C0" w14:textId="77777777" w:rsidR="008E2CA6" w:rsidRDefault="008E2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11F1" w14:textId="01F89A6A" w:rsidR="30DB2DC5" w:rsidRDefault="007C2D71" w:rsidP="001756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944BE" wp14:editId="3948885C">
          <wp:simplePos x="0" y="0"/>
          <wp:positionH relativeFrom="column">
            <wp:posOffset>21272</wp:posOffset>
          </wp:positionH>
          <wp:positionV relativeFrom="paragraph">
            <wp:posOffset>-302260</wp:posOffset>
          </wp:positionV>
          <wp:extent cx="1219200" cy="71120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7A06"/>
    <w:multiLevelType w:val="hybridMultilevel"/>
    <w:tmpl w:val="F3D6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E7A"/>
    <w:multiLevelType w:val="hybridMultilevel"/>
    <w:tmpl w:val="0ED45D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7C97"/>
    <w:multiLevelType w:val="hybridMultilevel"/>
    <w:tmpl w:val="1528EC92"/>
    <w:lvl w:ilvl="0" w:tplc="4ABE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CD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24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B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6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7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A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6606"/>
    <w:multiLevelType w:val="hybridMultilevel"/>
    <w:tmpl w:val="6F56C3CE"/>
    <w:lvl w:ilvl="0" w:tplc="26C48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4F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4F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44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0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64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0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0812"/>
    <w:multiLevelType w:val="hybridMultilevel"/>
    <w:tmpl w:val="3AA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1189D"/>
    <w:multiLevelType w:val="hybridMultilevel"/>
    <w:tmpl w:val="FFFFFFFF"/>
    <w:lvl w:ilvl="0" w:tplc="C6A0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66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62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1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06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0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D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E2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3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71C7"/>
    <w:multiLevelType w:val="hybridMultilevel"/>
    <w:tmpl w:val="42C2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7236"/>
    <w:multiLevelType w:val="hybridMultilevel"/>
    <w:tmpl w:val="92007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AD56FC"/>
    <w:multiLevelType w:val="hybridMultilevel"/>
    <w:tmpl w:val="B3F8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9325A"/>
    <w:multiLevelType w:val="hybridMultilevel"/>
    <w:tmpl w:val="A618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57ABE"/>
    <w:multiLevelType w:val="hybridMultilevel"/>
    <w:tmpl w:val="1D02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2B67"/>
    <w:multiLevelType w:val="hybridMultilevel"/>
    <w:tmpl w:val="4C80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50BAA"/>
    <w:multiLevelType w:val="hybridMultilevel"/>
    <w:tmpl w:val="DF82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366"/>
    <w:multiLevelType w:val="hybridMultilevel"/>
    <w:tmpl w:val="E4DA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2"/>
    <w:rsid w:val="0002059D"/>
    <w:rsid w:val="000211B8"/>
    <w:rsid w:val="0002352E"/>
    <w:rsid w:val="0003401E"/>
    <w:rsid w:val="00037055"/>
    <w:rsid w:val="00040EBB"/>
    <w:rsid w:val="00044DB3"/>
    <w:rsid w:val="0005513F"/>
    <w:rsid w:val="000715F5"/>
    <w:rsid w:val="00073F95"/>
    <w:rsid w:val="00075750"/>
    <w:rsid w:val="000825B5"/>
    <w:rsid w:val="00083285"/>
    <w:rsid w:val="00091950"/>
    <w:rsid w:val="00096B5D"/>
    <w:rsid w:val="000E4D37"/>
    <w:rsid w:val="00100D7F"/>
    <w:rsid w:val="001302C8"/>
    <w:rsid w:val="001319C6"/>
    <w:rsid w:val="00145B0B"/>
    <w:rsid w:val="00156FE8"/>
    <w:rsid w:val="001708DA"/>
    <w:rsid w:val="00172315"/>
    <w:rsid w:val="001733AF"/>
    <w:rsid w:val="00175696"/>
    <w:rsid w:val="001800A0"/>
    <w:rsid w:val="0018821E"/>
    <w:rsid w:val="001927F1"/>
    <w:rsid w:val="001AA175"/>
    <w:rsid w:val="00210BE5"/>
    <w:rsid w:val="00221A27"/>
    <w:rsid w:val="00225E03"/>
    <w:rsid w:val="00227F14"/>
    <w:rsid w:val="0023507A"/>
    <w:rsid w:val="002476B1"/>
    <w:rsid w:val="002630AE"/>
    <w:rsid w:val="00263355"/>
    <w:rsid w:val="002773D3"/>
    <w:rsid w:val="002810EA"/>
    <w:rsid w:val="002D16BC"/>
    <w:rsid w:val="002D2582"/>
    <w:rsid w:val="002D7FF1"/>
    <w:rsid w:val="00360F11"/>
    <w:rsid w:val="00380FA6"/>
    <w:rsid w:val="003A5DA9"/>
    <w:rsid w:val="003B61DA"/>
    <w:rsid w:val="003D5725"/>
    <w:rsid w:val="00403C4F"/>
    <w:rsid w:val="00407D94"/>
    <w:rsid w:val="00431A88"/>
    <w:rsid w:val="00446BA4"/>
    <w:rsid w:val="0045252B"/>
    <w:rsid w:val="004554B0"/>
    <w:rsid w:val="00460BBB"/>
    <w:rsid w:val="004668A7"/>
    <w:rsid w:val="00492C56"/>
    <w:rsid w:val="004A282B"/>
    <w:rsid w:val="004A4A74"/>
    <w:rsid w:val="004A5BDE"/>
    <w:rsid w:val="004C08F1"/>
    <w:rsid w:val="004C1A09"/>
    <w:rsid w:val="004E579A"/>
    <w:rsid w:val="0050723F"/>
    <w:rsid w:val="00527EC4"/>
    <w:rsid w:val="0053075F"/>
    <w:rsid w:val="00542794"/>
    <w:rsid w:val="00555B92"/>
    <w:rsid w:val="00556F24"/>
    <w:rsid w:val="0057702F"/>
    <w:rsid w:val="00593BF9"/>
    <w:rsid w:val="005A6C44"/>
    <w:rsid w:val="005E02FD"/>
    <w:rsid w:val="005E468B"/>
    <w:rsid w:val="005F5C59"/>
    <w:rsid w:val="00615519"/>
    <w:rsid w:val="006251FD"/>
    <w:rsid w:val="006657C8"/>
    <w:rsid w:val="00684E1D"/>
    <w:rsid w:val="00693019"/>
    <w:rsid w:val="006B0AF2"/>
    <w:rsid w:val="006D06FB"/>
    <w:rsid w:val="006E46B9"/>
    <w:rsid w:val="006E6E50"/>
    <w:rsid w:val="006F7284"/>
    <w:rsid w:val="00710343"/>
    <w:rsid w:val="00723650"/>
    <w:rsid w:val="00726000"/>
    <w:rsid w:val="0075013A"/>
    <w:rsid w:val="0075A90D"/>
    <w:rsid w:val="00761B9A"/>
    <w:rsid w:val="0077559D"/>
    <w:rsid w:val="007907F1"/>
    <w:rsid w:val="007947FE"/>
    <w:rsid w:val="007A77B6"/>
    <w:rsid w:val="007B4F89"/>
    <w:rsid w:val="007C020B"/>
    <w:rsid w:val="007C2D71"/>
    <w:rsid w:val="007D5638"/>
    <w:rsid w:val="007F59E5"/>
    <w:rsid w:val="008050D0"/>
    <w:rsid w:val="00806BC6"/>
    <w:rsid w:val="008105E1"/>
    <w:rsid w:val="008124A9"/>
    <w:rsid w:val="008150FA"/>
    <w:rsid w:val="00816938"/>
    <w:rsid w:val="0082681B"/>
    <w:rsid w:val="00832ACA"/>
    <w:rsid w:val="00840B4A"/>
    <w:rsid w:val="00844CE2"/>
    <w:rsid w:val="00852FBB"/>
    <w:rsid w:val="00858946"/>
    <w:rsid w:val="00884A99"/>
    <w:rsid w:val="00885610"/>
    <w:rsid w:val="008A1D96"/>
    <w:rsid w:val="008C61E2"/>
    <w:rsid w:val="008D76F7"/>
    <w:rsid w:val="008DB4B7"/>
    <w:rsid w:val="008E2CA6"/>
    <w:rsid w:val="008F2D65"/>
    <w:rsid w:val="00906330"/>
    <w:rsid w:val="0092530C"/>
    <w:rsid w:val="009344F9"/>
    <w:rsid w:val="0093782B"/>
    <w:rsid w:val="00937995"/>
    <w:rsid w:val="00956E38"/>
    <w:rsid w:val="00961AFE"/>
    <w:rsid w:val="00964332"/>
    <w:rsid w:val="0097569A"/>
    <w:rsid w:val="009759E2"/>
    <w:rsid w:val="00985565"/>
    <w:rsid w:val="009A5C63"/>
    <w:rsid w:val="009A71FA"/>
    <w:rsid w:val="009C673A"/>
    <w:rsid w:val="009D349E"/>
    <w:rsid w:val="009F05DC"/>
    <w:rsid w:val="009F6189"/>
    <w:rsid w:val="00A11086"/>
    <w:rsid w:val="00A12998"/>
    <w:rsid w:val="00A2320A"/>
    <w:rsid w:val="00A5140F"/>
    <w:rsid w:val="00A574EE"/>
    <w:rsid w:val="00A64B14"/>
    <w:rsid w:val="00A71DE9"/>
    <w:rsid w:val="00A8523C"/>
    <w:rsid w:val="00A92ED0"/>
    <w:rsid w:val="00A93634"/>
    <w:rsid w:val="00AA163F"/>
    <w:rsid w:val="00B00FD3"/>
    <w:rsid w:val="00B1507A"/>
    <w:rsid w:val="00B20F5C"/>
    <w:rsid w:val="00B57EAA"/>
    <w:rsid w:val="00B75069"/>
    <w:rsid w:val="00B94D06"/>
    <w:rsid w:val="00B977CB"/>
    <w:rsid w:val="00BA2658"/>
    <w:rsid w:val="00BA3455"/>
    <w:rsid w:val="00BA6A26"/>
    <w:rsid w:val="00BB07D1"/>
    <w:rsid w:val="00BB392A"/>
    <w:rsid w:val="00BD3A5F"/>
    <w:rsid w:val="00C02506"/>
    <w:rsid w:val="00C13F26"/>
    <w:rsid w:val="00C2739E"/>
    <w:rsid w:val="00C51A78"/>
    <w:rsid w:val="00C61F33"/>
    <w:rsid w:val="00C7410B"/>
    <w:rsid w:val="00C76050"/>
    <w:rsid w:val="00C93645"/>
    <w:rsid w:val="00CA2690"/>
    <w:rsid w:val="00CB1CA5"/>
    <w:rsid w:val="00CD34E3"/>
    <w:rsid w:val="00CD648B"/>
    <w:rsid w:val="00D02F37"/>
    <w:rsid w:val="00D26290"/>
    <w:rsid w:val="00D30BE4"/>
    <w:rsid w:val="00D4470C"/>
    <w:rsid w:val="00D717A5"/>
    <w:rsid w:val="00D72733"/>
    <w:rsid w:val="00D75344"/>
    <w:rsid w:val="00D90A7B"/>
    <w:rsid w:val="00D94770"/>
    <w:rsid w:val="00D97F3F"/>
    <w:rsid w:val="00DD0478"/>
    <w:rsid w:val="00DD4694"/>
    <w:rsid w:val="00DE5F4D"/>
    <w:rsid w:val="00E0567E"/>
    <w:rsid w:val="00E13566"/>
    <w:rsid w:val="00E310B1"/>
    <w:rsid w:val="00E33974"/>
    <w:rsid w:val="00E57B8B"/>
    <w:rsid w:val="00E608F5"/>
    <w:rsid w:val="00E62076"/>
    <w:rsid w:val="00E65B03"/>
    <w:rsid w:val="00E7172F"/>
    <w:rsid w:val="00E7467C"/>
    <w:rsid w:val="00E829AE"/>
    <w:rsid w:val="00E836B5"/>
    <w:rsid w:val="00E94C4B"/>
    <w:rsid w:val="00EA4593"/>
    <w:rsid w:val="00EB33B2"/>
    <w:rsid w:val="00EB4C79"/>
    <w:rsid w:val="00EC0AC6"/>
    <w:rsid w:val="00ED0E30"/>
    <w:rsid w:val="00ED50AA"/>
    <w:rsid w:val="00ED6236"/>
    <w:rsid w:val="00EF1F5B"/>
    <w:rsid w:val="00F10E6F"/>
    <w:rsid w:val="00F1442B"/>
    <w:rsid w:val="00F16CB5"/>
    <w:rsid w:val="00F22C69"/>
    <w:rsid w:val="00F32032"/>
    <w:rsid w:val="00F41B72"/>
    <w:rsid w:val="00F4386A"/>
    <w:rsid w:val="00F440A0"/>
    <w:rsid w:val="00F45D1A"/>
    <w:rsid w:val="00F52C1D"/>
    <w:rsid w:val="00F81BE7"/>
    <w:rsid w:val="00F94FDB"/>
    <w:rsid w:val="00FD21F7"/>
    <w:rsid w:val="00FE651E"/>
    <w:rsid w:val="00FF79EE"/>
    <w:rsid w:val="00FF79F3"/>
    <w:rsid w:val="010175E2"/>
    <w:rsid w:val="0116B695"/>
    <w:rsid w:val="012C9F27"/>
    <w:rsid w:val="015ADA63"/>
    <w:rsid w:val="018709DA"/>
    <w:rsid w:val="01A02029"/>
    <w:rsid w:val="020F14AA"/>
    <w:rsid w:val="021C12E5"/>
    <w:rsid w:val="0222EE18"/>
    <w:rsid w:val="023CE47E"/>
    <w:rsid w:val="0256ECF2"/>
    <w:rsid w:val="02908AC7"/>
    <w:rsid w:val="02FACC7B"/>
    <w:rsid w:val="0302CF07"/>
    <w:rsid w:val="039649FE"/>
    <w:rsid w:val="039AD81D"/>
    <w:rsid w:val="03E9C82F"/>
    <w:rsid w:val="03F4C0FA"/>
    <w:rsid w:val="04181543"/>
    <w:rsid w:val="04208CFE"/>
    <w:rsid w:val="045D61B8"/>
    <w:rsid w:val="04694469"/>
    <w:rsid w:val="0477BAF1"/>
    <w:rsid w:val="04A27A31"/>
    <w:rsid w:val="04BE71EE"/>
    <w:rsid w:val="0525F37C"/>
    <w:rsid w:val="054AF644"/>
    <w:rsid w:val="05FF5E28"/>
    <w:rsid w:val="0605201A"/>
    <w:rsid w:val="0608D565"/>
    <w:rsid w:val="0615084B"/>
    <w:rsid w:val="062A171D"/>
    <w:rsid w:val="063E4A92"/>
    <w:rsid w:val="064356D5"/>
    <w:rsid w:val="068BB577"/>
    <w:rsid w:val="06A4E4EC"/>
    <w:rsid w:val="06A8AB7C"/>
    <w:rsid w:val="06CFAD76"/>
    <w:rsid w:val="071E923A"/>
    <w:rsid w:val="074FDF03"/>
    <w:rsid w:val="077BABE3"/>
    <w:rsid w:val="077C6266"/>
    <w:rsid w:val="079CFA0E"/>
    <w:rsid w:val="07A13164"/>
    <w:rsid w:val="07DD7F50"/>
    <w:rsid w:val="0803D09A"/>
    <w:rsid w:val="0808F1A0"/>
    <w:rsid w:val="0818D681"/>
    <w:rsid w:val="08374965"/>
    <w:rsid w:val="0846DA64"/>
    <w:rsid w:val="0860C6D4"/>
    <w:rsid w:val="08AD3B62"/>
    <w:rsid w:val="08C4F78A"/>
    <w:rsid w:val="08E81671"/>
    <w:rsid w:val="0934FD9C"/>
    <w:rsid w:val="094497B4"/>
    <w:rsid w:val="094B045C"/>
    <w:rsid w:val="09639907"/>
    <w:rsid w:val="0964B07D"/>
    <w:rsid w:val="0A3E8633"/>
    <w:rsid w:val="0A5DAD81"/>
    <w:rsid w:val="0A8599CD"/>
    <w:rsid w:val="0A97A5CD"/>
    <w:rsid w:val="0A97D64A"/>
    <w:rsid w:val="0A9D6AA0"/>
    <w:rsid w:val="0AFD117A"/>
    <w:rsid w:val="0B09CBEF"/>
    <w:rsid w:val="0B0E1FC4"/>
    <w:rsid w:val="0B21B611"/>
    <w:rsid w:val="0B293EA4"/>
    <w:rsid w:val="0B31AF13"/>
    <w:rsid w:val="0B391D60"/>
    <w:rsid w:val="0B47653E"/>
    <w:rsid w:val="0B814954"/>
    <w:rsid w:val="0C1516B6"/>
    <w:rsid w:val="0C534AB3"/>
    <w:rsid w:val="0C83734F"/>
    <w:rsid w:val="0CB1B81C"/>
    <w:rsid w:val="0CC62519"/>
    <w:rsid w:val="0CCC6368"/>
    <w:rsid w:val="0CF7ABA0"/>
    <w:rsid w:val="0D02710A"/>
    <w:rsid w:val="0D0F41E0"/>
    <w:rsid w:val="0D33EE60"/>
    <w:rsid w:val="0D57EAC4"/>
    <w:rsid w:val="0D70EDF4"/>
    <w:rsid w:val="0DB78D53"/>
    <w:rsid w:val="0DD0ED46"/>
    <w:rsid w:val="0DE21C39"/>
    <w:rsid w:val="0DE4DF02"/>
    <w:rsid w:val="0DEEF04E"/>
    <w:rsid w:val="0E7EA584"/>
    <w:rsid w:val="0EB2FC58"/>
    <w:rsid w:val="0F103D5C"/>
    <w:rsid w:val="0F180460"/>
    <w:rsid w:val="0F26B7FE"/>
    <w:rsid w:val="0FC870F1"/>
    <w:rsid w:val="0FDBBC7D"/>
    <w:rsid w:val="1024E235"/>
    <w:rsid w:val="104F2194"/>
    <w:rsid w:val="108000D5"/>
    <w:rsid w:val="10B7294D"/>
    <w:rsid w:val="1104802C"/>
    <w:rsid w:val="11140882"/>
    <w:rsid w:val="1119041E"/>
    <w:rsid w:val="114BA9C4"/>
    <w:rsid w:val="11539C15"/>
    <w:rsid w:val="115A61B2"/>
    <w:rsid w:val="11783F4B"/>
    <w:rsid w:val="1180141F"/>
    <w:rsid w:val="1180AD1F"/>
    <w:rsid w:val="11833323"/>
    <w:rsid w:val="12843F76"/>
    <w:rsid w:val="12F19B26"/>
    <w:rsid w:val="13115144"/>
    <w:rsid w:val="1335A9F1"/>
    <w:rsid w:val="133D0E97"/>
    <w:rsid w:val="135A0641"/>
    <w:rsid w:val="139803B8"/>
    <w:rsid w:val="13AE2ED5"/>
    <w:rsid w:val="13B4C62F"/>
    <w:rsid w:val="140B5C50"/>
    <w:rsid w:val="146D9128"/>
    <w:rsid w:val="147DCB0B"/>
    <w:rsid w:val="14A76324"/>
    <w:rsid w:val="14C455BE"/>
    <w:rsid w:val="14D4BC58"/>
    <w:rsid w:val="14D89AD1"/>
    <w:rsid w:val="1554C4AB"/>
    <w:rsid w:val="15879BA6"/>
    <w:rsid w:val="15982553"/>
    <w:rsid w:val="15C50737"/>
    <w:rsid w:val="15E84084"/>
    <w:rsid w:val="15F08D31"/>
    <w:rsid w:val="1647866D"/>
    <w:rsid w:val="16530FDB"/>
    <w:rsid w:val="16708CB9"/>
    <w:rsid w:val="1670A4CD"/>
    <w:rsid w:val="167EDB48"/>
    <w:rsid w:val="16BACFC9"/>
    <w:rsid w:val="172087AD"/>
    <w:rsid w:val="172B8A1D"/>
    <w:rsid w:val="17356AFA"/>
    <w:rsid w:val="174C1D46"/>
    <w:rsid w:val="176461BA"/>
    <w:rsid w:val="178C0B1A"/>
    <w:rsid w:val="17A03C33"/>
    <w:rsid w:val="17A94384"/>
    <w:rsid w:val="17BA358A"/>
    <w:rsid w:val="17D438C5"/>
    <w:rsid w:val="17FE986E"/>
    <w:rsid w:val="18075D77"/>
    <w:rsid w:val="181373EA"/>
    <w:rsid w:val="18686287"/>
    <w:rsid w:val="186F9FC8"/>
    <w:rsid w:val="1875E526"/>
    <w:rsid w:val="18D94DDB"/>
    <w:rsid w:val="18E04A23"/>
    <w:rsid w:val="18E0FA39"/>
    <w:rsid w:val="19A98A2F"/>
    <w:rsid w:val="19E581AA"/>
    <w:rsid w:val="19EC0788"/>
    <w:rsid w:val="1A1A7EEF"/>
    <w:rsid w:val="1A2B7C66"/>
    <w:rsid w:val="1A6BD1E0"/>
    <w:rsid w:val="1A72394C"/>
    <w:rsid w:val="1A79DB89"/>
    <w:rsid w:val="1AA27F47"/>
    <w:rsid w:val="1AB8FD40"/>
    <w:rsid w:val="1ACA390A"/>
    <w:rsid w:val="1AE69894"/>
    <w:rsid w:val="1B1036AF"/>
    <w:rsid w:val="1B20F731"/>
    <w:rsid w:val="1B316FA8"/>
    <w:rsid w:val="1B3F9C36"/>
    <w:rsid w:val="1B75E65E"/>
    <w:rsid w:val="1BAB85D2"/>
    <w:rsid w:val="1BAC28C0"/>
    <w:rsid w:val="1BC1D0A6"/>
    <w:rsid w:val="1BCDA9DD"/>
    <w:rsid w:val="1BE8372C"/>
    <w:rsid w:val="1C476418"/>
    <w:rsid w:val="1C5B21E6"/>
    <w:rsid w:val="1C8C365B"/>
    <w:rsid w:val="1C8CEE72"/>
    <w:rsid w:val="1CD2EA00"/>
    <w:rsid w:val="1CDA658E"/>
    <w:rsid w:val="1CE0B604"/>
    <w:rsid w:val="1CE668A4"/>
    <w:rsid w:val="1D54E8FA"/>
    <w:rsid w:val="1D735375"/>
    <w:rsid w:val="1D9A6FAD"/>
    <w:rsid w:val="1E343842"/>
    <w:rsid w:val="1E39DF19"/>
    <w:rsid w:val="1E4285B1"/>
    <w:rsid w:val="1EB96923"/>
    <w:rsid w:val="1EBC2C41"/>
    <w:rsid w:val="1ECCCFA0"/>
    <w:rsid w:val="1ECE4365"/>
    <w:rsid w:val="1EE0DD7D"/>
    <w:rsid w:val="1F77C797"/>
    <w:rsid w:val="1F7CB415"/>
    <w:rsid w:val="1FD79BCA"/>
    <w:rsid w:val="1FD9F81C"/>
    <w:rsid w:val="2003C429"/>
    <w:rsid w:val="203D2B91"/>
    <w:rsid w:val="2067AB66"/>
    <w:rsid w:val="20C60F85"/>
    <w:rsid w:val="20D5C342"/>
    <w:rsid w:val="20DDD8BE"/>
    <w:rsid w:val="20FAF563"/>
    <w:rsid w:val="20FDEAEC"/>
    <w:rsid w:val="20FE9F68"/>
    <w:rsid w:val="210E04A3"/>
    <w:rsid w:val="21189AF5"/>
    <w:rsid w:val="217782A6"/>
    <w:rsid w:val="21949ADE"/>
    <w:rsid w:val="21AB5078"/>
    <w:rsid w:val="21F3249C"/>
    <w:rsid w:val="222C2185"/>
    <w:rsid w:val="223DBC89"/>
    <w:rsid w:val="22557AFD"/>
    <w:rsid w:val="225D6780"/>
    <w:rsid w:val="22694D49"/>
    <w:rsid w:val="22847C62"/>
    <w:rsid w:val="22878048"/>
    <w:rsid w:val="22E822C1"/>
    <w:rsid w:val="231E3EC1"/>
    <w:rsid w:val="23290E7B"/>
    <w:rsid w:val="2329A413"/>
    <w:rsid w:val="233FDF36"/>
    <w:rsid w:val="23421DC3"/>
    <w:rsid w:val="23520341"/>
    <w:rsid w:val="2379C171"/>
    <w:rsid w:val="23BE504F"/>
    <w:rsid w:val="23D491A3"/>
    <w:rsid w:val="23D8AD7B"/>
    <w:rsid w:val="24157980"/>
    <w:rsid w:val="244FC614"/>
    <w:rsid w:val="245167B3"/>
    <w:rsid w:val="248F1EB6"/>
    <w:rsid w:val="2492C843"/>
    <w:rsid w:val="24972650"/>
    <w:rsid w:val="24AF0145"/>
    <w:rsid w:val="24C57474"/>
    <w:rsid w:val="251A2856"/>
    <w:rsid w:val="2525EF91"/>
    <w:rsid w:val="252DD7E0"/>
    <w:rsid w:val="252E80E8"/>
    <w:rsid w:val="253B1ED7"/>
    <w:rsid w:val="256C4221"/>
    <w:rsid w:val="25806FF3"/>
    <w:rsid w:val="25831F93"/>
    <w:rsid w:val="258C1620"/>
    <w:rsid w:val="259B17A6"/>
    <w:rsid w:val="25A0EE0B"/>
    <w:rsid w:val="25A8BACA"/>
    <w:rsid w:val="25B9E8F0"/>
    <w:rsid w:val="25F9E398"/>
    <w:rsid w:val="26069D0C"/>
    <w:rsid w:val="260D8C11"/>
    <w:rsid w:val="26307A37"/>
    <w:rsid w:val="265361EC"/>
    <w:rsid w:val="266144D5"/>
    <w:rsid w:val="26639E8C"/>
    <w:rsid w:val="266E4C68"/>
    <w:rsid w:val="267E831D"/>
    <w:rsid w:val="2699957B"/>
    <w:rsid w:val="26AE4464"/>
    <w:rsid w:val="26AEA359"/>
    <w:rsid w:val="26BF80C3"/>
    <w:rsid w:val="26D238B4"/>
    <w:rsid w:val="26DD3762"/>
    <w:rsid w:val="271E6CCF"/>
    <w:rsid w:val="274D1A42"/>
    <w:rsid w:val="2776A387"/>
    <w:rsid w:val="27854A7A"/>
    <w:rsid w:val="27A469AA"/>
    <w:rsid w:val="27A55C87"/>
    <w:rsid w:val="27B6D103"/>
    <w:rsid w:val="27BBFD38"/>
    <w:rsid w:val="27CB3D1C"/>
    <w:rsid w:val="27D1BD55"/>
    <w:rsid w:val="27F86CA5"/>
    <w:rsid w:val="2813827A"/>
    <w:rsid w:val="281B156A"/>
    <w:rsid w:val="282A6E6A"/>
    <w:rsid w:val="284045F1"/>
    <w:rsid w:val="2848F0CC"/>
    <w:rsid w:val="2859B917"/>
    <w:rsid w:val="28F82B35"/>
    <w:rsid w:val="2902DC35"/>
    <w:rsid w:val="29101AE1"/>
    <w:rsid w:val="29124356"/>
    <w:rsid w:val="294DBB3A"/>
    <w:rsid w:val="2957CD99"/>
    <w:rsid w:val="29682EF8"/>
    <w:rsid w:val="29B9A856"/>
    <w:rsid w:val="29EBE6F4"/>
    <w:rsid w:val="29F08E3D"/>
    <w:rsid w:val="29F0F07B"/>
    <w:rsid w:val="29F41E85"/>
    <w:rsid w:val="2A0F8247"/>
    <w:rsid w:val="2A20FDC7"/>
    <w:rsid w:val="2A3ADB4B"/>
    <w:rsid w:val="2A4D467A"/>
    <w:rsid w:val="2A58D48E"/>
    <w:rsid w:val="2A71536D"/>
    <w:rsid w:val="2A75A6B7"/>
    <w:rsid w:val="2A90A0A2"/>
    <w:rsid w:val="2AEC4C1D"/>
    <w:rsid w:val="2AF2C175"/>
    <w:rsid w:val="2B1732D5"/>
    <w:rsid w:val="2B2E02F0"/>
    <w:rsid w:val="2B3AAA45"/>
    <w:rsid w:val="2B42E7F3"/>
    <w:rsid w:val="2B659B41"/>
    <w:rsid w:val="2B8FD98F"/>
    <w:rsid w:val="2B95B650"/>
    <w:rsid w:val="2C444D20"/>
    <w:rsid w:val="2C47BBA3"/>
    <w:rsid w:val="2C54B442"/>
    <w:rsid w:val="2D1536B3"/>
    <w:rsid w:val="2D1A1C57"/>
    <w:rsid w:val="2D389D25"/>
    <w:rsid w:val="2D52D6D1"/>
    <w:rsid w:val="2D62995D"/>
    <w:rsid w:val="2D905953"/>
    <w:rsid w:val="2D931EBE"/>
    <w:rsid w:val="2DA43083"/>
    <w:rsid w:val="2DC08448"/>
    <w:rsid w:val="2DC11746"/>
    <w:rsid w:val="2DF35E8B"/>
    <w:rsid w:val="2E6B8226"/>
    <w:rsid w:val="2E820C39"/>
    <w:rsid w:val="2E89E483"/>
    <w:rsid w:val="2E9753FC"/>
    <w:rsid w:val="2EB345EF"/>
    <w:rsid w:val="2F03F10C"/>
    <w:rsid w:val="2F17CBDC"/>
    <w:rsid w:val="2F24E0F6"/>
    <w:rsid w:val="2F868E1A"/>
    <w:rsid w:val="2F8C5504"/>
    <w:rsid w:val="2FA70C12"/>
    <w:rsid w:val="2FF36CC3"/>
    <w:rsid w:val="301B9708"/>
    <w:rsid w:val="301EF6CD"/>
    <w:rsid w:val="302D67E1"/>
    <w:rsid w:val="304150AA"/>
    <w:rsid w:val="30582847"/>
    <w:rsid w:val="306D65CC"/>
    <w:rsid w:val="3075CACD"/>
    <w:rsid w:val="30C4EDEF"/>
    <w:rsid w:val="30CB04A1"/>
    <w:rsid w:val="30DB2DC5"/>
    <w:rsid w:val="30DC594A"/>
    <w:rsid w:val="30E9AC3A"/>
    <w:rsid w:val="30F3FC88"/>
    <w:rsid w:val="30F8149D"/>
    <w:rsid w:val="30F8FCD4"/>
    <w:rsid w:val="3140BA6A"/>
    <w:rsid w:val="31443FC5"/>
    <w:rsid w:val="315AB7BC"/>
    <w:rsid w:val="315B8843"/>
    <w:rsid w:val="31671EF1"/>
    <w:rsid w:val="317985BC"/>
    <w:rsid w:val="31B20D93"/>
    <w:rsid w:val="31BFC85F"/>
    <w:rsid w:val="31C800EB"/>
    <w:rsid w:val="31E8A868"/>
    <w:rsid w:val="32510536"/>
    <w:rsid w:val="325219C9"/>
    <w:rsid w:val="328E479A"/>
    <w:rsid w:val="328E7097"/>
    <w:rsid w:val="32A67773"/>
    <w:rsid w:val="32BD07DA"/>
    <w:rsid w:val="32BF2D40"/>
    <w:rsid w:val="32D33AB7"/>
    <w:rsid w:val="32D4C430"/>
    <w:rsid w:val="32DE7ABF"/>
    <w:rsid w:val="330BA138"/>
    <w:rsid w:val="33423BD2"/>
    <w:rsid w:val="3357BAEA"/>
    <w:rsid w:val="336DC37A"/>
    <w:rsid w:val="338BC826"/>
    <w:rsid w:val="33A3DE85"/>
    <w:rsid w:val="342778FB"/>
    <w:rsid w:val="345EDA0C"/>
    <w:rsid w:val="3497E869"/>
    <w:rsid w:val="34AF1695"/>
    <w:rsid w:val="34BFFB4D"/>
    <w:rsid w:val="3522D0A3"/>
    <w:rsid w:val="3523A0F3"/>
    <w:rsid w:val="35300BBA"/>
    <w:rsid w:val="35853DF7"/>
    <w:rsid w:val="3588CEDA"/>
    <w:rsid w:val="3594A714"/>
    <w:rsid w:val="35AE454E"/>
    <w:rsid w:val="36254293"/>
    <w:rsid w:val="3652E483"/>
    <w:rsid w:val="365C2491"/>
    <w:rsid w:val="3684B8F0"/>
    <w:rsid w:val="36D385D4"/>
    <w:rsid w:val="36DCCA78"/>
    <w:rsid w:val="36E56A8E"/>
    <w:rsid w:val="371BE8DA"/>
    <w:rsid w:val="374A15AF"/>
    <w:rsid w:val="375CA588"/>
    <w:rsid w:val="379A0898"/>
    <w:rsid w:val="37B95455"/>
    <w:rsid w:val="382A5D57"/>
    <w:rsid w:val="383A9127"/>
    <w:rsid w:val="38521B87"/>
    <w:rsid w:val="38792F74"/>
    <w:rsid w:val="388E9CFF"/>
    <w:rsid w:val="3890E3F2"/>
    <w:rsid w:val="38B29ADF"/>
    <w:rsid w:val="38D859C0"/>
    <w:rsid w:val="38DF8A1E"/>
    <w:rsid w:val="38EAAD15"/>
    <w:rsid w:val="38EE7824"/>
    <w:rsid w:val="3918E630"/>
    <w:rsid w:val="39698BBD"/>
    <w:rsid w:val="39795CFE"/>
    <w:rsid w:val="397D65D2"/>
    <w:rsid w:val="3994495E"/>
    <w:rsid w:val="39CC17EB"/>
    <w:rsid w:val="39D3EFA5"/>
    <w:rsid w:val="39D65DA8"/>
    <w:rsid w:val="3A3527D5"/>
    <w:rsid w:val="3A5898DB"/>
    <w:rsid w:val="3AB68999"/>
    <w:rsid w:val="3ABCD493"/>
    <w:rsid w:val="3AEFA337"/>
    <w:rsid w:val="3AFEEA56"/>
    <w:rsid w:val="3B05DAEA"/>
    <w:rsid w:val="3B0D18C9"/>
    <w:rsid w:val="3B5BA2E2"/>
    <w:rsid w:val="3B79102B"/>
    <w:rsid w:val="3B9F21E9"/>
    <w:rsid w:val="3BB03B9B"/>
    <w:rsid w:val="3BC372D2"/>
    <w:rsid w:val="3BCE22F1"/>
    <w:rsid w:val="3BD42638"/>
    <w:rsid w:val="3BE2F050"/>
    <w:rsid w:val="3C199703"/>
    <w:rsid w:val="3C74F65B"/>
    <w:rsid w:val="3C8DCC0B"/>
    <w:rsid w:val="3C975F9F"/>
    <w:rsid w:val="3C9F9CFE"/>
    <w:rsid w:val="3CB88B00"/>
    <w:rsid w:val="3CEAF03C"/>
    <w:rsid w:val="3D3C3574"/>
    <w:rsid w:val="3DAFBC8E"/>
    <w:rsid w:val="3DCCBFC7"/>
    <w:rsid w:val="3DD63891"/>
    <w:rsid w:val="3DD7D928"/>
    <w:rsid w:val="3E064539"/>
    <w:rsid w:val="3E24314B"/>
    <w:rsid w:val="3E54D6D1"/>
    <w:rsid w:val="3E999EDB"/>
    <w:rsid w:val="3EDC73C4"/>
    <w:rsid w:val="3EEEB65F"/>
    <w:rsid w:val="3EF95A58"/>
    <w:rsid w:val="3F22FE07"/>
    <w:rsid w:val="3F702A8A"/>
    <w:rsid w:val="3FB25606"/>
    <w:rsid w:val="3FC88564"/>
    <w:rsid w:val="3FD2344A"/>
    <w:rsid w:val="3FDC3D2A"/>
    <w:rsid w:val="3FE76053"/>
    <w:rsid w:val="3FE82E2F"/>
    <w:rsid w:val="400B2571"/>
    <w:rsid w:val="4034D898"/>
    <w:rsid w:val="40419F9D"/>
    <w:rsid w:val="4073095F"/>
    <w:rsid w:val="4098EDDB"/>
    <w:rsid w:val="40C22A69"/>
    <w:rsid w:val="40C4AB08"/>
    <w:rsid w:val="40DFBD1E"/>
    <w:rsid w:val="40E889A5"/>
    <w:rsid w:val="41078810"/>
    <w:rsid w:val="4146C82A"/>
    <w:rsid w:val="417EC4C4"/>
    <w:rsid w:val="41AB3CBA"/>
    <w:rsid w:val="41B72EF6"/>
    <w:rsid w:val="41B7C01B"/>
    <w:rsid w:val="41E7A120"/>
    <w:rsid w:val="41EE193B"/>
    <w:rsid w:val="421B384F"/>
    <w:rsid w:val="421BE21B"/>
    <w:rsid w:val="421E4727"/>
    <w:rsid w:val="42569D1C"/>
    <w:rsid w:val="428EAD60"/>
    <w:rsid w:val="42C7FD0C"/>
    <w:rsid w:val="42CA9576"/>
    <w:rsid w:val="42CCD030"/>
    <w:rsid w:val="42D50E77"/>
    <w:rsid w:val="43720A04"/>
    <w:rsid w:val="43B7BD14"/>
    <w:rsid w:val="43C4EE0A"/>
    <w:rsid w:val="43C60E08"/>
    <w:rsid w:val="43CDDC83"/>
    <w:rsid w:val="43DDBB5A"/>
    <w:rsid w:val="43EECE74"/>
    <w:rsid w:val="440E4B29"/>
    <w:rsid w:val="44162BDC"/>
    <w:rsid w:val="441D2CF1"/>
    <w:rsid w:val="442027E5"/>
    <w:rsid w:val="44202A67"/>
    <w:rsid w:val="44364990"/>
    <w:rsid w:val="44917237"/>
    <w:rsid w:val="449B2646"/>
    <w:rsid w:val="449E736C"/>
    <w:rsid w:val="44A1B97E"/>
    <w:rsid w:val="44B76797"/>
    <w:rsid w:val="45002318"/>
    <w:rsid w:val="4500C2AC"/>
    <w:rsid w:val="45265521"/>
    <w:rsid w:val="452F6BBE"/>
    <w:rsid w:val="45442666"/>
    <w:rsid w:val="45871A60"/>
    <w:rsid w:val="45888488"/>
    <w:rsid w:val="45A4D1D6"/>
    <w:rsid w:val="45A8ACBB"/>
    <w:rsid w:val="45D85A07"/>
    <w:rsid w:val="45F8DAAD"/>
    <w:rsid w:val="460C59D6"/>
    <w:rsid w:val="461ACADE"/>
    <w:rsid w:val="465EFEF0"/>
    <w:rsid w:val="4679BD1B"/>
    <w:rsid w:val="469D85F1"/>
    <w:rsid w:val="46DD867B"/>
    <w:rsid w:val="471036EF"/>
    <w:rsid w:val="4713015F"/>
    <w:rsid w:val="4717D43A"/>
    <w:rsid w:val="47188B71"/>
    <w:rsid w:val="474F3845"/>
    <w:rsid w:val="4764C832"/>
    <w:rsid w:val="478718F6"/>
    <w:rsid w:val="47C68366"/>
    <w:rsid w:val="47D08147"/>
    <w:rsid w:val="47F501BA"/>
    <w:rsid w:val="4800456C"/>
    <w:rsid w:val="48066F2D"/>
    <w:rsid w:val="481258C7"/>
    <w:rsid w:val="4812AE8E"/>
    <w:rsid w:val="48245431"/>
    <w:rsid w:val="484DAB0B"/>
    <w:rsid w:val="4853A6A2"/>
    <w:rsid w:val="485BE9F2"/>
    <w:rsid w:val="4872EE63"/>
    <w:rsid w:val="4893460E"/>
    <w:rsid w:val="48A6C49C"/>
    <w:rsid w:val="48B9171F"/>
    <w:rsid w:val="48C52FAD"/>
    <w:rsid w:val="48F37C03"/>
    <w:rsid w:val="48FADF24"/>
    <w:rsid w:val="48FC148F"/>
    <w:rsid w:val="4903F760"/>
    <w:rsid w:val="49110BC5"/>
    <w:rsid w:val="49247986"/>
    <w:rsid w:val="492D4F17"/>
    <w:rsid w:val="4930D099"/>
    <w:rsid w:val="49798B5A"/>
    <w:rsid w:val="49B6C180"/>
    <w:rsid w:val="49D0F230"/>
    <w:rsid w:val="4A01386E"/>
    <w:rsid w:val="4A079299"/>
    <w:rsid w:val="4A23D57C"/>
    <w:rsid w:val="4A3B6534"/>
    <w:rsid w:val="4A5B17D9"/>
    <w:rsid w:val="4A5CAD9B"/>
    <w:rsid w:val="4A719FC3"/>
    <w:rsid w:val="4A734618"/>
    <w:rsid w:val="4AA1DB84"/>
    <w:rsid w:val="4AB9FBE7"/>
    <w:rsid w:val="4ACB9A8D"/>
    <w:rsid w:val="4AF7D2A5"/>
    <w:rsid w:val="4B0C69CD"/>
    <w:rsid w:val="4B0E1156"/>
    <w:rsid w:val="4B170174"/>
    <w:rsid w:val="4B3E2E09"/>
    <w:rsid w:val="4B7C59D7"/>
    <w:rsid w:val="4BA7CD99"/>
    <w:rsid w:val="4BBFC60B"/>
    <w:rsid w:val="4BCC06EF"/>
    <w:rsid w:val="4BD73595"/>
    <w:rsid w:val="4BFCD06F"/>
    <w:rsid w:val="4C2AB2EB"/>
    <w:rsid w:val="4C397ED0"/>
    <w:rsid w:val="4C41B4C4"/>
    <w:rsid w:val="4C420187"/>
    <w:rsid w:val="4C46EBF1"/>
    <w:rsid w:val="4C6CE257"/>
    <w:rsid w:val="4C8032AD"/>
    <w:rsid w:val="4C985ECA"/>
    <w:rsid w:val="4C9E550A"/>
    <w:rsid w:val="4CD32977"/>
    <w:rsid w:val="4CD58BD0"/>
    <w:rsid w:val="4CE8A5DC"/>
    <w:rsid w:val="4D033A71"/>
    <w:rsid w:val="4D0DDCD8"/>
    <w:rsid w:val="4D5CDD2D"/>
    <w:rsid w:val="4D703184"/>
    <w:rsid w:val="4D762208"/>
    <w:rsid w:val="4D7CE111"/>
    <w:rsid w:val="4D845ACE"/>
    <w:rsid w:val="4DBBF08E"/>
    <w:rsid w:val="4DBC9792"/>
    <w:rsid w:val="4DD7198F"/>
    <w:rsid w:val="4E041FE6"/>
    <w:rsid w:val="4E4AFA5C"/>
    <w:rsid w:val="4E4CCB36"/>
    <w:rsid w:val="4E61F362"/>
    <w:rsid w:val="4E658B87"/>
    <w:rsid w:val="4E9C3445"/>
    <w:rsid w:val="4EE70798"/>
    <w:rsid w:val="4F0ED657"/>
    <w:rsid w:val="4F153C24"/>
    <w:rsid w:val="4F221D95"/>
    <w:rsid w:val="4F29D84A"/>
    <w:rsid w:val="4F2DA8F8"/>
    <w:rsid w:val="4F411B95"/>
    <w:rsid w:val="4F5ABDB2"/>
    <w:rsid w:val="4F620413"/>
    <w:rsid w:val="4FA55188"/>
    <w:rsid w:val="500358F1"/>
    <w:rsid w:val="5013D345"/>
    <w:rsid w:val="504E1274"/>
    <w:rsid w:val="5055176A"/>
    <w:rsid w:val="50579476"/>
    <w:rsid w:val="5066A44E"/>
    <w:rsid w:val="5084102E"/>
    <w:rsid w:val="50917952"/>
    <w:rsid w:val="5095EAF9"/>
    <w:rsid w:val="509E59DF"/>
    <w:rsid w:val="50AFABB4"/>
    <w:rsid w:val="512BE9BB"/>
    <w:rsid w:val="514C7D8B"/>
    <w:rsid w:val="51697B62"/>
    <w:rsid w:val="5185F49C"/>
    <w:rsid w:val="518DDDA3"/>
    <w:rsid w:val="51A998F5"/>
    <w:rsid w:val="51B0C7DB"/>
    <w:rsid w:val="51D6E4B7"/>
    <w:rsid w:val="51DEFC1E"/>
    <w:rsid w:val="51FDE6C0"/>
    <w:rsid w:val="52330B87"/>
    <w:rsid w:val="523D8E6F"/>
    <w:rsid w:val="523FC11C"/>
    <w:rsid w:val="52400E87"/>
    <w:rsid w:val="5285F190"/>
    <w:rsid w:val="52DA18D7"/>
    <w:rsid w:val="52FAC184"/>
    <w:rsid w:val="5321FA10"/>
    <w:rsid w:val="535F5017"/>
    <w:rsid w:val="538F0138"/>
    <w:rsid w:val="539E9C99"/>
    <w:rsid w:val="53E62441"/>
    <w:rsid w:val="53F185CA"/>
    <w:rsid w:val="545DCE5E"/>
    <w:rsid w:val="545F7C30"/>
    <w:rsid w:val="548E9D6F"/>
    <w:rsid w:val="54B30E76"/>
    <w:rsid w:val="55060A08"/>
    <w:rsid w:val="5544BF83"/>
    <w:rsid w:val="55648E13"/>
    <w:rsid w:val="55825F58"/>
    <w:rsid w:val="5593A784"/>
    <w:rsid w:val="559BF0FF"/>
    <w:rsid w:val="55BB10FF"/>
    <w:rsid w:val="55D82FAD"/>
    <w:rsid w:val="55E7260B"/>
    <w:rsid w:val="55F99EBF"/>
    <w:rsid w:val="5616DC40"/>
    <w:rsid w:val="5618CE54"/>
    <w:rsid w:val="561F60D6"/>
    <w:rsid w:val="562BB45E"/>
    <w:rsid w:val="564D72A5"/>
    <w:rsid w:val="568813AF"/>
    <w:rsid w:val="56EC38D3"/>
    <w:rsid w:val="56F52F52"/>
    <w:rsid w:val="570A5648"/>
    <w:rsid w:val="5714071D"/>
    <w:rsid w:val="572B8200"/>
    <w:rsid w:val="57522082"/>
    <w:rsid w:val="5792C5EE"/>
    <w:rsid w:val="57A2D27F"/>
    <w:rsid w:val="57E104BF"/>
    <w:rsid w:val="57EEDADB"/>
    <w:rsid w:val="57F8D118"/>
    <w:rsid w:val="58028677"/>
    <w:rsid w:val="58164A49"/>
    <w:rsid w:val="581660C4"/>
    <w:rsid w:val="58899173"/>
    <w:rsid w:val="58E54FB4"/>
    <w:rsid w:val="5908E053"/>
    <w:rsid w:val="5909328A"/>
    <w:rsid w:val="594AFE03"/>
    <w:rsid w:val="59524E48"/>
    <w:rsid w:val="5A0697B8"/>
    <w:rsid w:val="5A163BC9"/>
    <w:rsid w:val="5A2CD014"/>
    <w:rsid w:val="5A2DA7E0"/>
    <w:rsid w:val="5A329F90"/>
    <w:rsid w:val="5A4B179A"/>
    <w:rsid w:val="5A504339"/>
    <w:rsid w:val="5A9CED0A"/>
    <w:rsid w:val="5AB5A7DC"/>
    <w:rsid w:val="5B03236E"/>
    <w:rsid w:val="5B25792A"/>
    <w:rsid w:val="5B2FFF96"/>
    <w:rsid w:val="5B3623EA"/>
    <w:rsid w:val="5B430FE3"/>
    <w:rsid w:val="5B4E7F13"/>
    <w:rsid w:val="5B505256"/>
    <w:rsid w:val="5B64B6D7"/>
    <w:rsid w:val="5B806C90"/>
    <w:rsid w:val="5BB724F6"/>
    <w:rsid w:val="5BC702FB"/>
    <w:rsid w:val="5BF0D288"/>
    <w:rsid w:val="5BF16346"/>
    <w:rsid w:val="5C132DFF"/>
    <w:rsid w:val="5C21D2AB"/>
    <w:rsid w:val="5C2EFE38"/>
    <w:rsid w:val="5C390964"/>
    <w:rsid w:val="5C66590C"/>
    <w:rsid w:val="5C8750BF"/>
    <w:rsid w:val="5D06B72C"/>
    <w:rsid w:val="5D4B4879"/>
    <w:rsid w:val="5D633B21"/>
    <w:rsid w:val="5D79B0E5"/>
    <w:rsid w:val="5D95C4D4"/>
    <w:rsid w:val="5DA8D952"/>
    <w:rsid w:val="5DC4C3F7"/>
    <w:rsid w:val="5DCC346C"/>
    <w:rsid w:val="5DE92871"/>
    <w:rsid w:val="5E269F5A"/>
    <w:rsid w:val="5E2CBC78"/>
    <w:rsid w:val="5E4645CA"/>
    <w:rsid w:val="5E7C80FB"/>
    <w:rsid w:val="5E9045A5"/>
    <w:rsid w:val="5EA2878D"/>
    <w:rsid w:val="5EF4A961"/>
    <w:rsid w:val="5F14422C"/>
    <w:rsid w:val="5F15781D"/>
    <w:rsid w:val="5F916CCF"/>
    <w:rsid w:val="5F9976C6"/>
    <w:rsid w:val="5F9C0072"/>
    <w:rsid w:val="5FA57B0B"/>
    <w:rsid w:val="5FBAE82E"/>
    <w:rsid w:val="5FBE45B1"/>
    <w:rsid w:val="6018A3FE"/>
    <w:rsid w:val="6024D694"/>
    <w:rsid w:val="60384C88"/>
    <w:rsid w:val="604D4746"/>
    <w:rsid w:val="60601F47"/>
    <w:rsid w:val="606A814A"/>
    <w:rsid w:val="607A65D8"/>
    <w:rsid w:val="6084A2CE"/>
    <w:rsid w:val="609EB97B"/>
    <w:rsid w:val="60BC0228"/>
    <w:rsid w:val="60FBF5FD"/>
    <w:rsid w:val="61230D7E"/>
    <w:rsid w:val="614F7DBD"/>
    <w:rsid w:val="614FCCB1"/>
    <w:rsid w:val="6152BA19"/>
    <w:rsid w:val="61ACC491"/>
    <w:rsid w:val="61B02251"/>
    <w:rsid w:val="61D6CF7E"/>
    <w:rsid w:val="61F823EF"/>
    <w:rsid w:val="61F82BA7"/>
    <w:rsid w:val="6212BC79"/>
    <w:rsid w:val="6229E67D"/>
    <w:rsid w:val="622E080A"/>
    <w:rsid w:val="624A1C86"/>
    <w:rsid w:val="6258F667"/>
    <w:rsid w:val="625D39CF"/>
    <w:rsid w:val="625DB40E"/>
    <w:rsid w:val="626CFDB7"/>
    <w:rsid w:val="6272A3E8"/>
    <w:rsid w:val="6297235B"/>
    <w:rsid w:val="62A440C9"/>
    <w:rsid w:val="62DB30F8"/>
    <w:rsid w:val="62EA565A"/>
    <w:rsid w:val="62FE74DB"/>
    <w:rsid w:val="63558CD8"/>
    <w:rsid w:val="6370A00F"/>
    <w:rsid w:val="63B25D8F"/>
    <w:rsid w:val="63BA89FD"/>
    <w:rsid w:val="63DF62BA"/>
    <w:rsid w:val="63F08A71"/>
    <w:rsid w:val="63F74600"/>
    <w:rsid w:val="641B9A72"/>
    <w:rsid w:val="642ADB01"/>
    <w:rsid w:val="6432E389"/>
    <w:rsid w:val="6435016A"/>
    <w:rsid w:val="644FAA1C"/>
    <w:rsid w:val="64509416"/>
    <w:rsid w:val="647AEE6A"/>
    <w:rsid w:val="649A1229"/>
    <w:rsid w:val="64C93820"/>
    <w:rsid w:val="6554F6A8"/>
    <w:rsid w:val="6578982E"/>
    <w:rsid w:val="657FB9D6"/>
    <w:rsid w:val="658F734B"/>
    <w:rsid w:val="66014627"/>
    <w:rsid w:val="6606EFD7"/>
    <w:rsid w:val="663E094E"/>
    <w:rsid w:val="6648A971"/>
    <w:rsid w:val="66631FDD"/>
    <w:rsid w:val="668EA898"/>
    <w:rsid w:val="66B0F2C3"/>
    <w:rsid w:val="66BB0B87"/>
    <w:rsid w:val="66CB7174"/>
    <w:rsid w:val="670761A5"/>
    <w:rsid w:val="6707D3F7"/>
    <w:rsid w:val="670EB115"/>
    <w:rsid w:val="671B7310"/>
    <w:rsid w:val="674F1B1B"/>
    <w:rsid w:val="67681A36"/>
    <w:rsid w:val="678B13E2"/>
    <w:rsid w:val="67A608EA"/>
    <w:rsid w:val="67A8D23B"/>
    <w:rsid w:val="67C223F3"/>
    <w:rsid w:val="689E034A"/>
    <w:rsid w:val="68A9CB60"/>
    <w:rsid w:val="68B097FB"/>
    <w:rsid w:val="690230C9"/>
    <w:rsid w:val="694314A8"/>
    <w:rsid w:val="6959C654"/>
    <w:rsid w:val="695DE6A4"/>
    <w:rsid w:val="6976D9D9"/>
    <w:rsid w:val="69ACB3A8"/>
    <w:rsid w:val="69B52153"/>
    <w:rsid w:val="69EEE345"/>
    <w:rsid w:val="6A233DCF"/>
    <w:rsid w:val="6A33FC43"/>
    <w:rsid w:val="6A82494E"/>
    <w:rsid w:val="6AA55799"/>
    <w:rsid w:val="6AAF14C5"/>
    <w:rsid w:val="6AB52000"/>
    <w:rsid w:val="6ABB23AD"/>
    <w:rsid w:val="6B2C8FE1"/>
    <w:rsid w:val="6B3DA350"/>
    <w:rsid w:val="6B430E11"/>
    <w:rsid w:val="6B7BBA8A"/>
    <w:rsid w:val="6B84BC6F"/>
    <w:rsid w:val="6B864383"/>
    <w:rsid w:val="6BBDCE42"/>
    <w:rsid w:val="6BC929A4"/>
    <w:rsid w:val="6BD6554B"/>
    <w:rsid w:val="6BD6F69F"/>
    <w:rsid w:val="6C1FAC67"/>
    <w:rsid w:val="6C3E8845"/>
    <w:rsid w:val="6C61B478"/>
    <w:rsid w:val="6C88B672"/>
    <w:rsid w:val="6C8E5991"/>
    <w:rsid w:val="6C957260"/>
    <w:rsid w:val="6CAADBD8"/>
    <w:rsid w:val="6CB95ED5"/>
    <w:rsid w:val="6CBD2770"/>
    <w:rsid w:val="6CC2366C"/>
    <w:rsid w:val="6CDCF2A6"/>
    <w:rsid w:val="6D09BDC7"/>
    <w:rsid w:val="6D0A875A"/>
    <w:rsid w:val="6D1ECF3A"/>
    <w:rsid w:val="6D42B862"/>
    <w:rsid w:val="6D76A329"/>
    <w:rsid w:val="6DC10482"/>
    <w:rsid w:val="6DF8CC83"/>
    <w:rsid w:val="6E0B3A68"/>
    <w:rsid w:val="6E0EC426"/>
    <w:rsid w:val="6E6207D2"/>
    <w:rsid w:val="6E8D1DBF"/>
    <w:rsid w:val="6EC8A5CA"/>
    <w:rsid w:val="6EE8A0CD"/>
    <w:rsid w:val="6EED3C67"/>
    <w:rsid w:val="6EEDDEEA"/>
    <w:rsid w:val="6F8A5D11"/>
    <w:rsid w:val="6FDE13F8"/>
    <w:rsid w:val="6FE2C8CA"/>
    <w:rsid w:val="6FF0F8F8"/>
    <w:rsid w:val="70009592"/>
    <w:rsid w:val="700F66EA"/>
    <w:rsid w:val="7013BB5E"/>
    <w:rsid w:val="704340E1"/>
    <w:rsid w:val="7043653F"/>
    <w:rsid w:val="7056F2C4"/>
    <w:rsid w:val="70BD9419"/>
    <w:rsid w:val="70D1E2DA"/>
    <w:rsid w:val="70E55415"/>
    <w:rsid w:val="71387B69"/>
    <w:rsid w:val="7149EC8F"/>
    <w:rsid w:val="71610FBD"/>
    <w:rsid w:val="716F4A0C"/>
    <w:rsid w:val="71733E02"/>
    <w:rsid w:val="718F77DB"/>
    <w:rsid w:val="71EE2041"/>
    <w:rsid w:val="72134C74"/>
    <w:rsid w:val="721366A8"/>
    <w:rsid w:val="72F4D866"/>
    <w:rsid w:val="73027F8D"/>
    <w:rsid w:val="7319F538"/>
    <w:rsid w:val="7347CEE6"/>
    <w:rsid w:val="737351A7"/>
    <w:rsid w:val="73C8E027"/>
    <w:rsid w:val="7424AF38"/>
    <w:rsid w:val="747982D8"/>
    <w:rsid w:val="749280F6"/>
    <w:rsid w:val="74A57EC3"/>
    <w:rsid w:val="74E456B2"/>
    <w:rsid w:val="74F2F0C0"/>
    <w:rsid w:val="74FFC24B"/>
    <w:rsid w:val="75504CFA"/>
    <w:rsid w:val="757CA9F5"/>
    <w:rsid w:val="757EFD80"/>
    <w:rsid w:val="7581A4CA"/>
    <w:rsid w:val="758D2E69"/>
    <w:rsid w:val="75A59BD7"/>
    <w:rsid w:val="75AFC173"/>
    <w:rsid w:val="75C01CD6"/>
    <w:rsid w:val="75D4D710"/>
    <w:rsid w:val="75E95F14"/>
    <w:rsid w:val="75FAC8C2"/>
    <w:rsid w:val="763F2968"/>
    <w:rsid w:val="7641E073"/>
    <w:rsid w:val="764F4953"/>
    <w:rsid w:val="768CE78B"/>
    <w:rsid w:val="7695F8EB"/>
    <w:rsid w:val="769A4743"/>
    <w:rsid w:val="76B39BBB"/>
    <w:rsid w:val="76BE15F9"/>
    <w:rsid w:val="76D9E240"/>
    <w:rsid w:val="77739A3D"/>
    <w:rsid w:val="77D10750"/>
    <w:rsid w:val="77F9FE11"/>
    <w:rsid w:val="780D34DC"/>
    <w:rsid w:val="785BB810"/>
    <w:rsid w:val="788D62CD"/>
    <w:rsid w:val="78FA3D69"/>
    <w:rsid w:val="78FF0E79"/>
    <w:rsid w:val="79283E6D"/>
    <w:rsid w:val="792C2828"/>
    <w:rsid w:val="7981A8CF"/>
    <w:rsid w:val="79A6B4E6"/>
    <w:rsid w:val="79AC19D3"/>
    <w:rsid w:val="79BD9F55"/>
    <w:rsid w:val="79BFA6B7"/>
    <w:rsid w:val="7A74BFAF"/>
    <w:rsid w:val="7AA497EE"/>
    <w:rsid w:val="7AE35D6B"/>
    <w:rsid w:val="7B086989"/>
    <w:rsid w:val="7B39D5C1"/>
    <w:rsid w:val="7B71CA3C"/>
    <w:rsid w:val="7B7FED30"/>
    <w:rsid w:val="7B85F388"/>
    <w:rsid w:val="7BD4D865"/>
    <w:rsid w:val="7C00D3CA"/>
    <w:rsid w:val="7C32995E"/>
    <w:rsid w:val="7C64B25D"/>
    <w:rsid w:val="7CB808CC"/>
    <w:rsid w:val="7CD84D6A"/>
    <w:rsid w:val="7CF9BC02"/>
    <w:rsid w:val="7D1370A3"/>
    <w:rsid w:val="7D1C1A5D"/>
    <w:rsid w:val="7D28775F"/>
    <w:rsid w:val="7D2C4DBF"/>
    <w:rsid w:val="7D362E6E"/>
    <w:rsid w:val="7D735CF5"/>
    <w:rsid w:val="7D82EEC4"/>
    <w:rsid w:val="7D9CA42B"/>
    <w:rsid w:val="7DBC6C49"/>
    <w:rsid w:val="7DE8E6D9"/>
    <w:rsid w:val="7DF7965F"/>
    <w:rsid w:val="7E0E532A"/>
    <w:rsid w:val="7E155EBC"/>
    <w:rsid w:val="7E21FB2F"/>
    <w:rsid w:val="7E6AAC80"/>
    <w:rsid w:val="7E77D85D"/>
    <w:rsid w:val="7F0920E4"/>
    <w:rsid w:val="7F25EDF8"/>
    <w:rsid w:val="7F7486A0"/>
    <w:rsid w:val="7F7DEDBE"/>
    <w:rsid w:val="7F98A2BE"/>
    <w:rsid w:val="7FDB6B0E"/>
    <w:rsid w:val="7FEAA60D"/>
    <w:rsid w:val="7F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1EE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2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82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DDF0-8242-43A0-A372-FDAF0648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2020-11-19T15:12:00Z</dcterms:created>
  <dcterms:modified xsi:type="dcterms:W3CDTF">2020-11-20T09:44:00Z</dcterms:modified>
</cp:coreProperties>
</file>