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190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628"/>
        <w:gridCol w:w="1145"/>
      </w:tblGrid>
      <w:tr w:rsidR="00436A04" w14:paraId="06AEDF10" w14:textId="77777777" w:rsidTr="05372E10">
        <w:trPr>
          <w:gridBefore w:val="1"/>
          <w:gridAfter w:val="1"/>
          <w:wBefore w:w="1134" w:type="dxa"/>
          <w:wAfter w:w="1145" w:type="dxa"/>
          <w:trHeight w:val="3459"/>
        </w:trPr>
        <w:tc>
          <w:tcPr>
            <w:tcW w:w="9628" w:type="dxa"/>
            <w:hideMark/>
          </w:tcPr>
          <w:p w14:paraId="06AEDF0F" w14:textId="77777777" w:rsidR="00436A04" w:rsidRDefault="00436A04">
            <w:pPr>
              <w:spacing w:after="240" w:line="320" w:lineRule="atLeast"/>
            </w:pPr>
            <w:r>
              <w:rPr>
                <w:noProof/>
              </w:rPr>
              <w:drawing>
                <wp:inline distT="0" distB="0" distL="0" distR="0" wp14:anchorId="06AEDF59" wp14:editId="325F4C26">
                  <wp:extent cx="2171700" cy="1152525"/>
                  <wp:effectExtent l="0" t="0" r="0" b="0"/>
                  <wp:docPr id="1334511834" name="picture" descr="Department for Business, Energy &amp; Industrial Strategy logo" title="Department for Business, Energy &amp; Industrial Strategy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A04" w14:paraId="06AEDF13" w14:textId="77777777" w:rsidTr="05372E10">
        <w:trPr>
          <w:gridBefore w:val="1"/>
          <w:gridAfter w:val="1"/>
          <w:wBefore w:w="1134" w:type="dxa"/>
          <w:wAfter w:w="1145" w:type="dxa"/>
          <w:cantSplit/>
          <w:trHeight w:val="2977"/>
        </w:trPr>
        <w:tc>
          <w:tcPr>
            <w:tcW w:w="9628" w:type="dxa"/>
            <w:hideMark/>
          </w:tcPr>
          <w:p w14:paraId="06AEDF11" w14:textId="3DC12DC5" w:rsidR="00D148B7" w:rsidRPr="00502E61" w:rsidRDefault="05372E10" w:rsidP="05372E10">
            <w:pPr>
              <w:rPr>
                <w:caps/>
                <w:color w:val="00447C"/>
                <w:sz w:val="68"/>
                <w:szCs w:val="68"/>
              </w:rPr>
            </w:pPr>
            <w:r w:rsidRPr="05372E10">
              <w:rPr>
                <w:caps/>
                <w:color w:val="00447C"/>
                <w:sz w:val="68"/>
                <w:szCs w:val="68"/>
              </w:rPr>
              <w:t>BUSINESS IMPACT TARGET:</w:t>
            </w:r>
          </w:p>
          <w:p w14:paraId="06AEDF12" w14:textId="77777777" w:rsidR="00436A04" w:rsidRDefault="05372E10" w:rsidP="05372E10">
            <w:pPr>
              <w:rPr>
                <w:caps/>
                <w:color w:val="00447C"/>
                <w:sz w:val="84"/>
                <w:szCs w:val="84"/>
              </w:rPr>
            </w:pPr>
            <w:r w:rsidRPr="05372E10">
              <w:rPr>
                <w:caps/>
                <w:color w:val="00447C"/>
                <w:sz w:val="68"/>
                <w:szCs w:val="68"/>
              </w:rPr>
              <w:t>SUMMARY TEMPLATE</w:t>
            </w:r>
            <w:r w:rsidRPr="05372E10">
              <w:rPr>
                <w:caps/>
                <w:color w:val="00447C"/>
                <w:sz w:val="84"/>
                <w:szCs w:val="84"/>
              </w:rPr>
              <w:t xml:space="preserve"> </w:t>
            </w:r>
          </w:p>
        </w:tc>
      </w:tr>
      <w:tr w:rsidR="00436A04" w14:paraId="06AEDF16" w14:textId="77777777" w:rsidTr="05372E10">
        <w:trPr>
          <w:gridBefore w:val="1"/>
          <w:gridAfter w:val="1"/>
          <w:wBefore w:w="1134" w:type="dxa"/>
          <w:wAfter w:w="1145" w:type="dxa"/>
          <w:trHeight w:val="2643"/>
        </w:trPr>
        <w:tc>
          <w:tcPr>
            <w:tcW w:w="9628" w:type="dxa"/>
            <w:hideMark/>
          </w:tcPr>
          <w:p w14:paraId="06AEDF14" w14:textId="018F05DD" w:rsidR="00436A04" w:rsidRPr="00502E61" w:rsidRDefault="05372E10" w:rsidP="05372E10">
            <w:pPr>
              <w:spacing w:before="240"/>
              <w:rPr>
                <w:color w:val="A6A6A6" w:themeColor="background1" w:themeShade="A6"/>
                <w:sz w:val="48"/>
                <w:szCs w:val="48"/>
              </w:rPr>
            </w:pPr>
            <w:r w:rsidRPr="05372E10">
              <w:rPr>
                <w:color w:val="A6A6A6" w:themeColor="background1" w:themeShade="A6"/>
                <w:sz w:val="48"/>
                <w:szCs w:val="48"/>
              </w:rPr>
              <w:t>Non-qualifying Regulatory Provisions (NQRP) summary reporting template</w:t>
            </w:r>
          </w:p>
          <w:p w14:paraId="06AEDF15" w14:textId="77777777" w:rsidR="00436A04" w:rsidRDefault="00436A04" w:rsidP="00D148B7">
            <w:pPr>
              <w:spacing w:before="240"/>
              <w:rPr>
                <w:color w:val="00447C"/>
                <w:sz w:val="48"/>
              </w:rPr>
            </w:pPr>
          </w:p>
        </w:tc>
      </w:tr>
      <w:tr w:rsidR="00436A04" w14:paraId="06AEDF18" w14:textId="77777777" w:rsidTr="05372E10">
        <w:trPr>
          <w:cantSplit/>
          <w:trHeight w:val="3402"/>
        </w:trPr>
        <w:tc>
          <w:tcPr>
            <w:tcW w:w="11907" w:type="dxa"/>
            <w:gridSpan w:val="3"/>
            <w:hideMark/>
          </w:tcPr>
          <w:p w14:paraId="06AEDF17" w14:textId="77777777" w:rsidR="00436A04" w:rsidRDefault="00436A04">
            <w:pPr>
              <w:spacing w:after="240" w:line="320" w:lineRule="atLeast"/>
            </w:pPr>
            <w:r>
              <w:rPr>
                <w:noProof/>
              </w:rPr>
              <w:drawing>
                <wp:inline distT="0" distB="0" distL="0" distR="0" wp14:anchorId="06AEDF5B" wp14:editId="2A527916">
                  <wp:extent cx="6124574" cy="1762125"/>
                  <wp:effectExtent l="0" t="0" r="9525" b="0"/>
                  <wp:docPr id="1973412843" name="picture" descr="Curve image" title="Curve imag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574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A04" w14:paraId="06AEDF1A" w14:textId="77777777" w:rsidTr="05372E10">
        <w:trPr>
          <w:gridBefore w:val="1"/>
          <w:gridAfter w:val="1"/>
          <w:wBefore w:w="1134" w:type="dxa"/>
          <w:wAfter w:w="1145" w:type="dxa"/>
        </w:trPr>
        <w:tc>
          <w:tcPr>
            <w:tcW w:w="9628" w:type="dxa"/>
          </w:tcPr>
          <w:p w14:paraId="06AEDF19" w14:textId="466F6A0E" w:rsidR="00436A04" w:rsidRDefault="00436A04">
            <w:pPr>
              <w:rPr>
                <w:sz w:val="32"/>
              </w:rPr>
            </w:pPr>
          </w:p>
        </w:tc>
      </w:tr>
    </w:tbl>
    <w:p w14:paraId="323B67B3" w14:textId="77777777" w:rsidR="00502E61" w:rsidRDefault="00502E61" w:rsidP="00E51930">
      <w:pPr>
        <w:rPr>
          <w:rFonts w:ascii="Calibri" w:hAnsi="Calibri"/>
          <w:b/>
          <w:sz w:val="22"/>
        </w:rPr>
      </w:pPr>
    </w:p>
    <w:p w14:paraId="343E42FC" w14:textId="77777777" w:rsidR="00CE6E24" w:rsidRDefault="00CE6E24" w:rsidP="00E51930">
      <w:pPr>
        <w:rPr>
          <w:rFonts w:ascii="Calibri" w:hAnsi="Calibri"/>
          <w:sz w:val="22"/>
        </w:rPr>
      </w:pPr>
    </w:p>
    <w:p w14:paraId="06AEDF1C" w14:textId="34483724" w:rsidR="00E51930" w:rsidRPr="00F60139" w:rsidRDefault="05372E10" w:rsidP="05372E10">
      <w:pPr>
        <w:rPr>
          <w:rFonts w:ascii="Calibri" w:hAnsi="Calibri" w:cs="Calibri"/>
          <w:sz w:val="22"/>
        </w:rPr>
      </w:pPr>
      <w:r w:rsidRPr="05372E10">
        <w:rPr>
          <w:rFonts w:ascii="Calibri" w:hAnsi="Calibri" w:cs="Calibri"/>
          <w:b/>
          <w:bCs/>
          <w:sz w:val="22"/>
        </w:rPr>
        <w:lastRenderedPageBreak/>
        <w:t xml:space="preserve">Regulator: </w:t>
      </w:r>
      <w:r w:rsidR="007A2199">
        <w:rPr>
          <w:rFonts w:ascii="Calibri" w:hAnsi="Calibri" w:cs="Calibri"/>
          <w:sz w:val="22"/>
        </w:rPr>
        <w:t>Information Commissioner’s Office</w:t>
      </w:r>
      <w:r w:rsidR="00A11DDB">
        <w:rPr>
          <w:rFonts w:ascii="Calibri" w:hAnsi="Calibri" w:cs="Calibri"/>
          <w:sz w:val="22"/>
        </w:rPr>
        <w:t xml:space="preserve"> (ICO)</w:t>
      </w:r>
    </w:p>
    <w:p w14:paraId="06AEDF1D" w14:textId="0FF13191" w:rsidR="00E51930" w:rsidRDefault="0468F3AB" w:rsidP="0468F3AB">
      <w:pPr>
        <w:rPr>
          <w:rFonts w:ascii="Calibri" w:hAnsi="Calibri" w:cs="Calibri"/>
          <w:sz w:val="22"/>
        </w:rPr>
      </w:pPr>
      <w:r w:rsidRPr="0468F3AB">
        <w:rPr>
          <w:rFonts w:ascii="Calibri" w:hAnsi="Calibri" w:cs="Calibri"/>
          <w:b/>
          <w:bCs/>
          <w:sz w:val="22"/>
        </w:rPr>
        <w:t xml:space="preserve">Business Impact Target Reporting Period Covered: </w:t>
      </w:r>
      <w:r w:rsidR="007A2199">
        <w:rPr>
          <w:rFonts w:ascii="Calibri" w:hAnsi="Calibri" w:cs="Calibri"/>
          <w:b/>
          <w:bCs/>
          <w:sz w:val="22"/>
        </w:rPr>
        <w:t>13 December 2019 to 16 December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5990"/>
      </w:tblGrid>
      <w:tr w:rsidR="00E51930" w14:paraId="06AEDF20" w14:textId="77777777" w:rsidTr="05372E10">
        <w:trPr>
          <w:tblHeader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F1E" w14:textId="7174BA10" w:rsidR="00E51930" w:rsidRDefault="05372E10" w:rsidP="05372E10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5372E10">
              <w:rPr>
                <w:rFonts w:ascii="Calibri" w:hAnsi="Calibri" w:cs="Calibri"/>
                <w:b/>
                <w:bCs/>
                <w:sz w:val="22"/>
              </w:rPr>
              <w:t>Excluded Category*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F1F" w14:textId="4BB69A61" w:rsidR="00E51930" w:rsidRDefault="05372E10" w:rsidP="05372E10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5372E10">
              <w:rPr>
                <w:rFonts w:ascii="Calibri" w:hAnsi="Calibri" w:cs="Calibri"/>
                <w:b/>
                <w:bCs/>
                <w:sz w:val="22"/>
              </w:rPr>
              <w:t>Summary of measure(s), including any impact data where available**</w:t>
            </w:r>
          </w:p>
        </w:tc>
      </w:tr>
      <w:tr w:rsidR="00E51930" w14:paraId="06AEDF54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3238" w14:textId="77777777" w:rsidR="00E51930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Measures certified as being below de minimis (measures with an EANDCB below +/- £5 million)</w:t>
            </w:r>
          </w:p>
          <w:p w14:paraId="06AEDF52" w14:textId="2C371444" w:rsidR="0098467D" w:rsidRDefault="0098467D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F53" w14:textId="7833E33B" w:rsidR="00E51930" w:rsidRPr="00912F73" w:rsidRDefault="003211D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3211D4">
              <w:rPr>
                <w:rFonts w:ascii="Calibri" w:hAnsi="Calibri"/>
                <w:sz w:val="22"/>
              </w:rPr>
              <w:t>Following consideration of the exclusion category there are no measures for the reporting period that qualify for the exclusion.</w:t>
            </w:r>
          </w:p>
        </w:tc>
      </w:tr>
      <w:tr w:rsidR="00927489" w14:paraId="6B831ABD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C57" w14:textId="77777777" w:rsidR="00927489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EU Regulations, Decisions and Directives and other international obligations, including the implementation of the EU Withdrawal Bill and EU Withdrawal Agreement</w:t>
            </w:r>
          </w:p>
          <w:p w14:paraId="7C9E68D0" w14:textId="26C06D0E" w:rsidR="0098467D" w:rsidRDefault="0098467D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BEB" w14:textId="272A52E0" w:rsidR="00927489" w:rsidRDefault="000F3A49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Launch of “Age </w:t>
            </w:r>
            <w:r w:rsidR="00A11DDB">
              <w:rPr>
                <w:rFonts w:ascii="Calibri" w:hAnsi="Calibri"/>
                <w:sz w:val="22"/>
              </w:rPr>
              <w:t>Appropriate</w:t>
            </w:r>
            <w:r>
              <w:rPr>
                <w:rFonts w:ascii="Calibri" w:hAnsi="Calibri"/>
                <w:sz w:val="22"/>
              </w:rPr>
              <w:t xml:space="preserve"> Design; a code of practice for on-line services” to support compliance with the Data Protection </w:t>
            </w:r>
            <w:r w:rsidR="00B50F2E">
              <w:rPr>
                <w:rFonts w:ascii="Calibri" w:hAnsi="Calibri"/>
                <w:sz w:val="22"/>
              </w:rPr>
              <w:t>Act 2018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CB0859">
              <w:rPr>
                <w:rFonts w:ascii="Calibri" w:hAnsi="Calibri"/>
                <w:sz w:val="22"/>
              </w:rPr>
              <w:t xml:space="preserve">(DPA) </w:t>
            </w:r>
            <w:r>
              <w:rPr>
                <w:rFonts w:ascii="Calibri" w:hAnsi="Calibri"/>
                <w:sz w:val="22"/>
              </w:rPr>
              <w:t xml:space="preserve">and the General Data </w:t>
            </w:r>
            <w:r w:rsidR="00A11DDB">
              <w:rPr>
                <w:rFonts w:ascii="Calibri" w:hAnsi="Calibri"/>
                <w:sz w:val="22"/>
              </w:rPr>
              <w:t>Protection</w:t>
            </w:r>
            <w:r>
              <w:rPr>
                <w:rFonts w:ascii="Calibri" w:hAnsi="Calibri"/>
                <w:sz w:val="22"/>
              </w:rPr>
              <w:t xml:space="preserve"> Regulation </w:t>
            </w:r>
            <w:r w:rsidR="00CB0859">
              <w:rPr>
                <w:rFonts w:ascii="Calibri" w:hAnsi="Calibri"/>
                <w:sz w:val="22"/>
              </w:rPr>
              <w:t xml:space="preserve">(GDPR) </w:t>
            </w:r>
            <w:r>
              <w:rPr>
                <w:rFonts w:ascii="Calibri" w:hAnsi="Calibri"/>
                <w:sz w:val="22"/>
              </w:rPr>
              <w:t>- estimated one</w:t>
            </w:r>
            <w:r w:rsidR="000E4362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off cost to business £60m.</w:t>
            </w:r>
          </w:p>
          <w:p w14:paraId="6427F230" w14:textId="0982F524" w:rsidR="000F3A49" w:rsidRDefault="00C262DF" w:rsidP="00C262DF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8A4103">
              <w:rPr>
                <w:rFonts w:ascii="Calibri" w:hAnsi="Calibri"/>
                <w:sz w:val="22"/>
              </w:rPr>
              <w:t xml:space="preserve">The code is risk based, which means it does not apply to all organisations in the same way. </w:t>
            </w:r>
          </w:p>
        </w:tc>
      </w:tr>
      <w:tr w:rsidR="003109DB" w14:paraId="437613C0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9B2" w14:textId="77777777" w:rsidR="003109DB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Measures certified as concerning EU Withdrawal Bill operability measures</w:t>
            </w:r>
          </w:p>
          <w:p w14:paraId="748B8282" w14:textId="75C2EFAB" w:rsidR="0098467D" w:rsidRDefault="0098467D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CE4" w14:textId="77777777" w:rsidR="003109DB" w:rsidRDefault="0098467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98467D">
              <w:rPr>
                <w:rFonts w:ascii="Calibri" w:hAnsi="Calibri"/>
                <w:sz w:val="22"/>
              </w:rPr>
              <w:t>Following consideration of the exclusion category there are no measures for the reporting period that qualify for the exclusion.</w:t>
            </w:r>
          </w:p>
          <w:p w14:paraId="271A9FED" w14:textId="6CE0DC5B" w:rsidR="00C262DF" w:rsidRDefault="00C262DF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71197">
              <w:rPr>
                <w:rFonts w:ascii="Calibri" w:hAnsi="Calibri"/>
                <w:sz w:val="22"/>
              </w:rPr>
              <w:t xml:space="preserve">However, the ICO’s </w:t>
            </w:r>
            <w:r w:rsidRPr="00E718CE">
              <w:rPr>
                <w:rFonts w:ascii="Calibri" w:hAnsi="Calibri"/>
                <w:sz w:val="22"/>
              </w:rPr>
              <w:t>Business Services set up a new dedicated helpline for organisations with specific queries about EU withdrawal</w:t>
            </w:r>
            <w:r>
              <w:rPr>
                <w:rFonts w:ascii="Calibri" w:hAnsi="Calibri"/>
                <w:sz w:val="22"/>
              </w:rPr>
              <w:t xml:space="preserve">. They </w:t>
            </w:r>
            <w:r w:rsidRPr="00E718CE">
              <w:rPr>
                <w:rFonts w:ascii="Calibri" w:hAnsi="Calibri"/>
                <w:sz w:val="22"/>
              </w:rPr>
              <w:t xml:space="preserve">produced a suite of guidance and resources to help organisations prepare for the end of the transition period on </w:t>
            </w:r>
            <w:r>
              <w:rPr>
                <w:rFonts w:ascii="Calibri" w:hAnsi="Calibri"/>
                <w:sz w:val="22"/>
              </w:rPr>
              <w:t xml:space="preserve">the ICO’s </w:t>
            </w:r>
            <w:r w:rsidRPr="00E718CE">
              <w:rPr>
                <w:rFonts w:ascii="Calibri" w:hAnsi="Calibri"/>
                <w:sz w:val="22"/>
              </w:rPr>
              <w:t>website.</w:t>
            </w:r>
          </w:p>
        </w:tc>
      </w:tr>
      <w:tr w:rsidR="00A02BAC" w14:paraId="693AB42A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68A" w14:textId="0AD2D10B" w:rsidR="00A02BAC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Pro-competition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353" w14:textId="57E078BE" w:rsidR="00A11DDB" w:rsidRDefault="00EA1DC6" w:rsidP="00EA1DC6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EA1DC6">
              <w:rPr>
                <w:rFonts w:ascii="Calibri" w:hAnsi="Calibri"/>
                <w:sz w:val="22"/>
              </w:rPr>
              <w:t xml:space="preserve">The </w:t>
            </w:r>
            <w:r>
              <w:rPr>
                <w:rFonts w:ascii="Calibri" w:hAnsi="Calibri"/>
                <w:sz w:val="22"/>
              </w:rPr>
              <w:t xml:space="preserve">ICO, </w:t>
            </w:r>
            <w:r w:rsidRPr="00EA1DC6">
              <w:rPr>
                <w:rFonts w:ascii="Calibri" w:hAnsi="Calibri"/>
                <w:sz w:val="22"/>
              </w:rPr>
              <w:t>Competition and Markets Authority, and Ofcom have set up a forum to help ensure online services work well for consumers and businesses in the UK.</w:t>
            </w:r>
            <w:r>
              <w:rPr>
                <w:rFonts w:ascii="Calibri" w:hAnsi="Calibri"/>
                <w:sz w:val="22"/>
              </w:rPr>
              <w:t xml:space="preserve"> </w:t>
            </w:r>
            <w:r w:rsidRPr="00EA1DC6">
              <w:rPr>
                <w:rFonts w:ascii="Calibri" w:hAnsi="Calibri"/>
                <w:sz w:val="22"/>
              </w:rPr>
              <w:t>The Digital Regulation Cooperation Forum strengthens existing collaboration between the regulators</w:t>
            </w:r>
            <w:r w:rsidR="002638B5">
              <w:rPr>
                <w:rFonts w:ascii="Calibri" w:hAnsi="Calibri"/>
                <w:sz w:val="22"/>
              </w:rPr>
              <w:t xml:space="preserve"> and </w:t>
            </w:r>
            <w:r w:rsidRPr="00EA1DC6">
              <w:rPr>
                <w:rFonts w:ascii="Calibri" w:hAnsi="Calibri"/>
                <w:sz w:val="22"/>
              </w:rPr>
              <w:t>aims to harness expertise when data, privacy, competition, communications and content interact.</w:t>
            </w:r>
          </w:p>
          <w:p w14:paraId="5385DB42" w14:textId="77777777" w:rsidR="00EA1DC6" w:rsidRDefault="00EA1DC6" w:rsidP="00EA1DC6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415778B7" w14:textId="74385032" w:rsidR="002638B5" w:rsidRDefault="002638B5" w:rsidP="003211D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  <w:r w:rsidRPr="00EA1DC6">
              <w:rPr>
                <w:rFonts w:ascii="Calibri" w:hAnsi="Calibri"/>
                <w:sz w:val="22"/>
              </w:rPr>
              <w:t xml:space="preserve">ased on feedback </w:t>
            </w:r>
            <w:r>
              <w:rPr>
                <w:rFonts w:ascii="Calibri" w:hAnsi="Calibri"/>
                <w:sz w:val="22"/>
              </w:rPr>
              <w:t>t</w:t>
            </w:r>
            <w:r w:rsidR="00EA1DC6" w:rsidRPr="00EA1DC6">
              <w:rPr>
                <w:rFonts w:ascii="Calibri" w:hAnsi="Calibri"/>
                <w:sz w:val="22"/>
              </w:rPr>
              <w:t xml:space="preserve">he </w:t>
            </w:r>
            <w:r w:rsidR="00EA1DC6">
              <w:rPr>
                <w:rFonts w:ascii="Calibri" w:hAnsi="Calibri"/>
                <w:sz w:val="22"/>
              </w:rPr>
              <w:t xml:space="preserve">ICO </w:t>
            </w:r>
            <w:r w:rsidR="00EA1DC6" w:rsidRPr="00EA1DC6">
              <w:rPr>
                <w:rFonts w:ascii="Calibri" w:hAnsi="Calibri"/>
                <w:sz w:val="22"/>
              </w:rPr>
              <w:t xml:space="preserve">has redeveloped </w:t>
            </w:r>
            <w:r w:rsidR="00845B93">
              <w:rPr>
                <w:rFonts w:ascii="Calibri" w:hAnsi="Calibri"/>
                <w:sz w:val="22"/>
              </w:rPr>
              <w:t>its</w:t>
            </w:r>
            <w:r w:rsidR="00EA1DC6" w:rsidRPr="00EA1DC6">
              <w:rPr>
                <w:rFonts w:ascii="Calibri" w:hAnsi="Calibri"/>
                <w:sz w:val="22"/>
              </w:rPr>
              <w:t xml:space="preserve"> SME web hub</w:t>
            </w:r>
            <w:r>
              <w:rPr>
                <w:rFonts w:ascii="Calibri" w:hAnsi="Calibri"/>
                <w:sz w:val="22"/>
              </w:rPr>
              <w:t xml:space="preserve"> </w:t>
            </w:r>
            <w:r w:rsidR="00EA1DC6" w:rsidRPr="00EA1DC6">
              <w:rPr>
                <w:rFonts w:ascii="Calibri" w:hAnsi="Calibri"/>
                <w:sz w:val="22"/>
              </w:rPr>
              <w:t xml:space="preserve">to make it as easy as possible for </w:t>
            </w:r>
            <w:r>
              <w:rPr>
                <w:rFonts w:ascii="Calibri" w:hAnsi="Calibri"/>
                <w:sz w:val="22"/>
              </w:rPr>
              <w:t xml:space="preserve">SMEs </w:t>
            </w:r>
            <w:r w:rsidR="00EA1DC6" w:rsidRPr="00EA1DC6">
              <w:rPr>
                <w:rFonts w:ascii="Calibri" w:hAnsi="Calibri"/>
                <w:sz w:val="22"/>
              </w:rPr>
              <w:t>to find, understand and act on our ad</w:t>
            </w:r>
            <w:r>
              <w:rPr>
                <w:rFonts w:ascii="Calibri" w:hAnsi="Calibri"/>
                <w:sz w:val="22"/>
              </w:rPr>
              <w:t xml:space="preserve">vice. Fourteen </w:t>
            </w:r>
            <w:r w:rsidR="00EA1DC6" w:rsidRPr="00EA1DC6">
              <w:rPr>
                <w:rFonts w:ascii="Calibri" w:hAnsi="Calibri"/>
                <w:sz w:val="22"/>
              </w:rPr>
              <w:t>new easy-to-follow blogs and guides, and dozens of new FAQs</w:t>
            </w:r>
            <w:r>
              <w:rPr>
                <w:rFonts w:ascii="Calibri" w:hAnsi="Calibri"/>
                <w:sz w:val="22"/>
              </w:rPr>
              <w:t xml:space="preserve"> have been added to </w:t>
            </w:r>
            <w:r w:rsidR="00EA1DC6" w:rsidRPr="00EA1DC6">
              <w:rPr>
                <w:rFonts w:ascii="Calibri" w:hAnsi="Calibri"/>
                <w:sz w:val="22"/>
              </w:rPr>
              <w:t xml:space="preserve">complement </w:t>
            </w:r>
            <w:r w:rsidR="00845B93">
              <w:rPr>
                <w:rFonts w:ascii="Calibri" w:hAnsi="Calibri"/>
                <w:sz w:val="22"/>
              </w:rPr>
              <w:t xml:space="preserve">the </w:t>
            </w:r>
            <w:r w:rsidR="00EA1DC6" w:rsidRPr="00EA1DC6">
              <w:rPr>
                <w:rFonts w:ascii="Calibri" w:hAnsi="Calibri"/>
                <w:sz w:val="22"/>
              </w:rPr>
              <w:t>existing SME helpline and live chat services</w:t>
            </w:r>
            <w:r>
              <w:rPr>
                <w:rFonts w:ascii="Calibri" w:hAnsi="Calibri"/>
                <w:sz w:val="22"/>
              </w:rPr>
              <w:t>.</w:t>
            </w:r>
            <w:r w:rsidR="00096AD9">
              <w:rPr>
                <w:rFonts w:ascii="Calibri" w:hAnsi="Calibri"/>
                <w:sz w:val="22"/>
              </w:rPr>
              <w:t xml:space="preserve"> The ICO has responded to 170,000 organisations most of which are SMEs.</w:t>
            </w:r>
          </w:p>
          <w:p w14:paraId="01C477F5" w14:textId="483C034D" w:rsidR="003211D4" w:rsidRDefault="003211D4" w:rsidP="003211D4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A02BAC" w14:paraId="7196E3C9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F0A" w14:textId="0F860E18" w:rsidR="00A02BAC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Systemic Financial Risk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C5DF" w14:textId="0D2EE07C" w:rsidR="0098467D" w:rsidRDefault="0098467D" w:rsidP="00C262DF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98467D">
              <w:rPr>
                <w:rFonts w:ascii="Calibri" w:hAnsi="Calibri"/>
                <w:sz w:val="22"/>
              </w:rPr>
              <w:t>Following consideration of the exclusion category there are no measures for the reporting period that qualify for the exclusion.</w:t>
            </w:r>
          </w:p>
        </w:tc>
      </w:tr>
      <w:tr w:rsidR="00A02BAC" w14:paraId="1984A46D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E93" w14:textId="469393B6" w:rsidR="00A02BAC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Civil Emergencies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64E" w14:textId="4209CDF4" w:rsidR="0098467D" w:rsidRDefault="0098467D" w:rsidP="00C262DF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98467D">
              <w:rPr>
                <w:rFonts w:ascii="Calibri" w:hAnsi="Calibri"/>
                <w:sz w:val="22"/>
              </w:rPr>
              <w:t>Following consideration of the exclusion category there are no measures for the reporting period that qualify for the exclusion.</w:t>
            </w:r>
          </w:p>
        </w:tc>
      </w:tr>
      <w:tr w:rsidR="00171474" w14:paraId="6E789319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920" w14:textId="3EEBC97C" w:rsidR="00171474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Fines and Penalties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1AF" w14:textId="77777777" w:rsidR="00665711" w:rsidRDefault="009A5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9A5D10">
              <w:rPr>
                <w:rFonts w:ascii="Calibri" w:hAnsi="Calibri"/>
                <w:sz w:val="22"/>
              </w:rPr>
              <w:t>T</w:t>
            </w:r>
            <w:r w:rsidR="00C70CFE" w:rsidRPr="009A5D10">
              <w:rPr>
                <w:rFonts w:ascii="Calibri" w:hAnsi="Calibri"/>
                <w:sz w:val="22"/>
              </w:rPr>
              <w:t>he total amount of fines issued</w:t>
            </w:r>
            <w:r w:rsidR="003211D4">
              <w:rPr>
                <w:rFonts w:ascii="Calibri" w:hAnsi="Calibri"/>
                <w:sz w:val="22"/>
              </w:rPr>
              <w:t xml:space="preserve"> to non-public sector organisations </w:t>
            </w:r>
            <w:r w:rsidRPr="009A5D10">
              <w:rPr>
                <w:rFonts w:ascii="Calibri" w:hAnsi="Calibri"/>
                <w:sz w:val="22"/>
              </w:rPr>
              <w:t xml:space="preserve">for not registering with the ICO was </w:t>
            </w:r>
            <w:r w:rsidR="00C70CFE" w:rsidRPr="009A5D10">
              <w:rPr>
                <w:rFonts w:ascii="Calibri" w:hAnsi="Calibri"/>
                <w:sz w:val="22"/>
              </w:rPr>
              <w:t xml:space="preserve">£145,000.  </w:t>
            </w:r>
          </w:p>
          <w:p w14:paraId="2E9F9987" w14:textId="6D5F5B31" w:rsidR="00665711" w:rsidRDefault="009A5D10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9A5D10">
              <w:rPr>
                <w:rFonts w:ascii="Calibri" w:hAnsi="Calibri"/>
                <w:sz w:val="22"/>
              </w:rPr>
              <w:t xml:space="preserve">Fines for other data protection breaches totalled </w:t>
            </w:r>
            <w:r w:rsidR="006E00B8" w:rsidRPr="009A5D10">
              <w:rPr>
                <w:rFonts w:ascii="Calibri" w:hAnsi="Calibri"/>
                <w:sz w:val="22"/>
              </w:rPr>
              <w:t>almost</w:t>
            </w:r>
            <w:r w:rsidRPr="009A5D10">
              <w:rPr>
                <w:rFonts w:ascii="Calibri" w:hAnsi="Calibri"/>
                <w:sz w:val="22"/>
              </w:rPr>
              <w:t xml:space="preserve"> £4</w:t>
            </w:r>
            <w:r w:rsidR="00665711">
              <w:rPr>
                <w:rFonts w:ascii="Calibri" w:hAnsi="Calibri"/>
                <w:sz w:val="22"/>
              </w:rPr>
              <w:t>1</w:t>
            </w:r>
            <w:r w:rsidRPr="009A5D10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665711">
              <w:rPr>
                <w:rFonts w:ascii="Calibri" w:hAnsi="Calibri"/>
                <w:sz w:val="22"/>
              </w:rPr>
              <w:t>including a fine of £20m for British Airways and one of over £18m for Marriott Hotels Ltd</w:t>
            </w:r>
            <w:r w:rsidR="00C262DF">
              <w:rPr>
                <w:rFonts w:ascii="Calibri" w:hAnsi="Calibri"/>
                <w:sz w:val="22"/>
              </w:rPr>
              <w:t xml:space="preserve"> and £.125m for Ticketmaster. </w:t>
            </w:r>
          </w:p>
          <w:p w14:paraId="69E88134" w14:textId="5DE181DF" w:rsidR="00C262DF" w:rsidRDefault="00C262DF" w:rsidP="00C262DF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The ICO also undertook a range of other regulator interventions, including issuing enforcement notices, such as the </w:t>
            </w:r>
            <w:r w:rsidRPr="00C262DF">
              <w:rPr>
                <w:rFonts w:ascii="Calibri" w:hAnsi="Calibri"/>
                <w:sz w:val="22"/>
              </w:rPr>
              <w:t>order given to Experian Limited</w:t>
            </w:r>
            <w:r>
              <w:rPr>
                <w:rFonts w:ascii="Calibri" w:hAnsi="Calibri"/>
                <w:sz w:val="22"/>
              </w:rPr>
              <w:t xml:space="preserve"> to make fundamental changes to how it </w:t>
            </w:r>
            <w:r>
              <w:rPr>
                <w:rFonts w:ascii="Calibri" w:hAnsi="Calibri"/>
                <w:sz w:val="22"/>
              </w:rPr>
              <w:lastRenderedPageBreak/>
              <w:t xml:space="preserve">handles people’s personal data within its direct marketing services. </w:t>
            </w:r>
          </w:p>
          <w:p w14:paraId="1A69F8C0" w14:textId="2F401F01" w:rsidR="002638B5" w:rsidRPr="009A5D10" w:rsidRDefault="00665711" w:rsidP="00C262DF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</w:t>
            </w:r>
            <w:r w:rsidR="009A5D10">
              <w:rPr>
                <w:rFonts w:ascii="Calibri" w:hAnsi="Calibri"/>
                <w:sz w:val="22"/>
              </w:rPr>
              <w:t>ines for Privacy and Electronic Communications Regulation</w:t>
            </w:r>
            <w:r w:rsidR="003211D4">
              <w:rPr>
                <w:rFonts w:ascii="Calibri" w:hAnsi="Calibri"/>
                <w:sz w:val="22"/>
              </w:rPr>
              <w:t xml:space="preserve"> breaches</w:t>
            </w:r>
            <w:r w:rsidR="009A5D10">
              <w:rPr>
                <w:rFonts w:ascii="Calibri" w:hAnsi="Calibri"/>
                <w:sz w:val="22"/>
              </w:rPr>
              <w:t xml:space="preserve"> were just over </w:t>
            </w:r>
            <w:r w:rsidR="009A5D10" w:rsidRPr="009A5D10">
              <w:rPr>
                <w:rFonts w:ascii="Calibri" w:hAnsi="Calibri"/>
                <w:sz w:val="22"/>
              </w:rPr>
              <w:t>£1</w:t>
            </w:r>
            <w:r w:rsidR="009A5D10">
              <w:rPr>
                <w:rFonts w:ascii="Calibri" w:hAnsi="Calibri"/>
                <w:sz w:val="22"/>
              </w:rPr>
              <w:t>.</w:t>
            </w:r>
            <w:r w:rsidR="009A5D10" w:rsidRPr="009A5D10">
              <w:rPr>
                <w:rFonts w:ascii="Calibri" w:hAnsi="Calibri"/>
                <w:sz w:val="22"/>
              </w:rPr>
              <w:t>4</w:t>
            </w:r>
            <w:r w:rsidR="009A5D10">
              <w:rPr>
                <w:rFonts w:ascii="Calibri" w:hAnsi="Calibri"/>
                <w:sz w:val="22"/>
              </w:rPr>
              <w:t>m</w:t>
            </w:r>
            <w:r w:rsidR="009A5D10" w:rsidRPr="009A5D10">
              <w:rPr>
                <w:rFonts w:ascii="Calibri" w:hAnsi="Calibri"/>
                <w:sz w:val="22"/>
              </w:rPr>
              <w:t>.</w:t>
            </w:r>
          </w:p>
        </w:tc>
      </w:tr>
      <w:tr w:rsidR="00A02BAC" w14:paraId="6B3D9A64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8ED" w14:textId="1E8588FE" w:rsidR="00A02BAC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lastRenderedPageBreak/>
              <w:t>Misuse of Drugs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08C" w14:textId="558083C8" w:rsidR="0098467D" w:rsidRDefault="0098467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98467D">
              <w:rPr>
                <w:rFonts w:ascii="Calibri" w:hAnsi="Calibri"/>
                <w:sz w:val="22"/>
              </w:rPr>
              <w:t>Following consideration of the exclusion category there are no measures for the reporting period that qualify for the exclusion.</w:t>
            </w:r>
          </w:p>
        </w:tc>
      </w:tr>
      <w:tr w:rsidR="00C0545F" w14:paraId="7E3B7F6E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C27" w14:textId="3E4C614B" w:rsidR="0098467D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Measures certified as relating to the safety of tenants, residents and occupants in response to the Grenfell tragedy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BD8" w14:textId="77777777" w:rsidR="00C0545F" w:rsidRDefault="0098467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98467D">
              <w:rPr>
                <w:rFonts w:ascii="Calibri" w:hAnsi="Calibri"/>
                <w:sz w:val="22"/>
              </w:rPr>
              <w:t>Following consideration of the exclusion category there are no measures for the reporting period that qualify for the exclusion.</w:t>
            </w:r>
          </w:p>
          <w:p w14:paraId="54E8B383" w14:textId="29653F1D" w:rsidR="00C262DF" w:rsidRDefault="00C262DF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However, the planned Data Sharing Code will give guidance on data sharing in an urgent situation such as Grenfell</w:t>
            </w:r>
          </w:p>
        </w:tc>
      </w:tr>
      <w:tr w:rsidR="00C0545F" w14:paraId="399EA910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EF60" w14:textId="1D241A56" w:rsidR="00C0545F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Casework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A62" w14:textId="18255DCA" w:rsidR="000E4362" w:rsidRPr="00E75A16" w:rsidRDefault="000E4362" w:rsidP="000E4362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75A1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The ICO’s casework </w:t>
            </w:r>
            <w:r w:rsidR="005B39B1" w:rsidRPr="00E75A1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activities </w:t>
            </w:r>
            <w:r w:rsidRPr="00E75A1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include </w:t>
            </w:r>
            <w:r w:rsidR="005B39B1" w:rsidRPr="00E75A1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handling </w:t>
            </w:r>
            <w:r w:rsidRPr="00E75A16">
              <w:rPr>
                <w:rFonts w:asciiTheme="minorHAnsi" w:hAnsiTheme="minorHAnsi"/>
                <w:color w:val="auto"/>
                <w:sz w:val="22"/>
                <w:szCs w:val="22"/>
              </w:rPr>
              <w:t>complaints from individuals under Articles 57(1) (f) and (2), and 77, of the GDPR and Section 165 of the DPA 2018.</w:t>
            </w:r>
          </w:p>
          <w:p w14:paraId="498F5C7D" w14:textId="67FCFA1A" w:rsidR="00C70CFE" w:rsidRPr="00EF761E" w:rsidRDefault="000E4362" w:rsidP="00C262DF">
            <w:pPr>
              <w:pStyle w:val="Default"/>
              <w:rPr>
                <w:rFonts w:asciiTheme="minorHAnsi" w:hAnsiTheme="minorHAnsi"/>
                <w:sz w:val="22"/>
              </w:rPr>
            </w:pPr>
            <w:r w:rsidRPr="00E75A16">
              <w:rPr>
                <w:rFonts w:asciiTheme="minorHAnsi" w:hAnsiTheme="minorHAnsi"/>
                <w:sz w:val="22"/>
              </w:rPr>
              <w:t xml:space="preserve">In the reporting period the ICO received over </w:t>
            </w:r>
            <w:r w:rsidR="00BE27C1" w:rsidRPr="00E75A16">
              <w:rPr>
                <w:rFonts w:asciiTheme="minorHAnsi" w:hAnsiTheme="minorHAnsi"/>
                <w:sz w:val="22"/>
              </w:rPr>
              <w:t>25,500</w:t>
            </w:r>
            <w:r w:rsidRPr="00E75A16">
              <w:rPr>
                <w:rFonts w:asciiTheme="minorHAnsi" w:hAnsiTheme="minorHAnsi"/>
                <w:sz w:val="22"/>
              </w:rPr>
              <w:t xml:space="preserve"> complaints from members of the public about data protection issues of which over</w:t>
            </w:r>
            <w:r w:rsidR="00BE27C1" w:rsidRPr="00E75A16">
              <w:rPr>
                <w:rFonts w:asciiTheme="minorHAnsi" w:hAnsiTheme="minorHAnsi"/>
                <w:sz w:val="22"/>
              </w:rPr>
              <w:t xml:space="preserve"> </w:t>
            </w:r>
            <w:r w:rsidRPr="00E75A16">
              <w:rPr>
                <w:rFonts w:asciiTheme="minorHAnsi" w:hAnsiTheme="minorHAnsi"/>
                <w:sz w:val="22"/>
              </w:rPr>
              <w:t xml:space="preserve">a third relate to businesses; with over </w:t>
            </w:r>
            <w:r w:rsidR="00BE27C1" w:rsidRPr="00E75A16">
              <w:rPr>
                <w:rFonts w:asciiTheme="minorHAnsi" w:hAnsiTheme="minorHAnsi"/>
                <w:sz w:val="22"/>
              </w:rPr>
              <w:t>8,503</w:t>
            </w:r>
            <w:r w:rsidRPr="00E75A16">
              <w:rPr>
                <w:rFonts w:asciiTheme="minorHAnsi" w:hAnsiTheme="minorHAnsi"/>
                <w:sz w:val="22"/>
              </w:rPr>
              <w:t xml:space="preserve"> personal data breaches reported.</w:t>
            </w:r>
          </w:p>
          <w:p w14:paraId="488F3986" w14:textId="1BBD8A4A" w:rsidR="00DB2740" w:rsidRPr="00DB2740" w:rsidRDefault="00DB2740" w:rsidP="000E4362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8B0552" w14:paraId="33454949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F9A" w14:textId="1070CE9A" w:rsidR="008B0552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Education, communications and promotion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0C0" w14:textId="7483B84D" w:rsidR="005F3ABD" w:rsidRDefault="005F3ABD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The ICO has published g</w:t>
            </w:r>
            <w:r w:rsidR="000F3A49">
              <w:rPr>
                <w:rFonts w:ascii="Calibri" w:hAnsi="Calibri"/>
                <w:sz w:val="22"/>
              </w:rPr>
              <w:t>uidance for</w:t>
            </w:r>
            <w:r w:rsidR="00EF761E">
              <w:rPr>
                <w:rFonts w:ascii="Calibri" w:hAnsi="Calibri"/>
                <w:sz w:val="22"/>
              </w:rPr>
              <w:t xml:space="preserve"> organisations on</w:t>
            </w:r>
            <w:r>
              <w:rPr>
                <w:rFonts w:ascii="Calibri" w:hAnsi="Calibri"/>
                <w:sz w:val="22"/>
              </w:rPr>
              <w:t>:</w:t>
            </w:r>
          </w:p>
          <w:p w14:paraId="388DD456" w14:textId="77777777" w:rsidR="00EF761E" w:rsidRDefault="000F3A49" w:rsidP="005F3A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  <w:sz w:val="22"/>
              </w:rPr>
            </w:pPr>
            <w:r w:rsidRPr="005F3ABD">
              <w:rPr>
                <w:rFonts w:ascii="Calibri" w:hAnsi="Calibri"/>
                <w:sz w:val="22"/>
              </w:rPr>
              <w:t>develop</w:t>
            </w:r>
            <w:r w:rsidR="00EF761E">
              <w:rPr>
                <w:rFonts w:ascii="Calibri" w:hAnsi="Calibri"/>
                <w:sz w:val="22"/>
              </w:rPr>
              <w:t>ing</w:t>
            </w:r>
            <w:r w:rsidRPr="005F3ABD">
              <w:rPr>
                <w:rFonts w:ascii="Calibri" w:hAnsi="Calibri"/>
                <w:sz w:val="22"/>
              </w:rPr>
              <w:t xml:space="preserve"> </w:t>
            </w:r>
            <w:r w:rsidR="00EF761E">
              <w:rPr>
                <w:rFonts w:ascii="Calibri" w:hAnsi="Calibri"/>
                <w:sz w:val="22"/>
              </w:rPr>
              <w:t xml:space="preserve">GDPR </w:t>
            </w:r>
            <w:r w:rsidRPr="005F3ABD">
              <w:rPr>
                <w:rFonts w:ascii="Calibri" w:hAnsi="Calibri"/>
                <w:sz w:val="22"/>
              </w:rPr>
              <w:t>codes of conduct and certification schemes</w:t>
            </w:r>
            <w:r w:rsidR="005F3ABD">
              <w:rPr>
                <w:rFonts w:ascii="Calibri" w:hAnsi="Calibri"/>
                <w:sz w:val="22"/>
              </w:rPr>
              <w:t>;</w:t>
            </w:r>
          </w:p>
          <w:p w14:paraId="6B890275" w14:textId="74C70B56" w:rsidR="008B0552" w:rsidRDefault="00EF761E" w:rsidP="005F3A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preparation for Brexit;</w:t>
            </w:r>
            <w:r w:rsidR="005F3ABD">
              <w:rPr>
                <w:rFonts w:ascii="Calibri" w:hAnsi="Calibri"/>
                <w:sz w:val="22"/>
              </w:rPr>
              <w:t xml:space="preserve"> </w:t>
            </w:r>
          </w:p>
          <w:p w14:paraId="45D2733B" w14:textId="5FD519C3" w:rsidR="005F3ABD" w:rsidRDefault="003211D4" w:rsidP="005F3A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handling requests for personal data;</w:t>
            </w:r>
            <w:r w:rsidR="00BE27C1">
              <w:rPr>
                <w:rFonts w:ascii="Calibri" w:hAnsi="Calibri"/>
                <w:sz w:val="22"/>
              </w:rPr>
              <w:t xml:space="preserve"> </w:t>
            </w:r>
            <w:r w:rsidR="00C63BDF">
              <w:rPr>
                <w:rFonts w:ascii="Calibri" w:hAnsi="Calibri"/>
                <w:sz w:val="22"/>
              </w:rPr>
              <w:t>and</w:t>
            </w:r>
          </w:p>
          <w:p w14:paraId="55B8EFF8" w14:textId="06C587EF" w:rsidR="00C63BDF" w:rsidRPr="005F3ABD" w:rsidRDefault="00C63BDF" w:rsidP="005F3A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/>
                <w:sz w:val="22"/>
              </w:rPr>
            </w:pPr>
            <w:r w:rsidRPr="00C63BDF">
              <w:rPr>
                <w:rFonts w:ascii="Calibri" w:hAnsi="Calibri"/>
                <w:sz w:val="22"/>
              </w:rPr>
              <w:t>best practice for data protection-compliant A</w:t>
            </w:r>
            <w:r>
              <w:rPr>
                <w:rFonts w:ascii="Calibri" w:hAnsi="Calibri"/>
                <w:sz w:val="22"/>
              </w:rPr>
              <w:t xml:space="preserve">rtificial Intelligence; including </w:t>
            </w:r>
            <w:r w:rsidRPr="00C63BDF">
              <w:rPr>
                <w:rFonts w:ascii="Calibri" w:hAnsi="Calibri"/>
                <w:sz w:val="22"/>
              </w:rPr>
              <w:t xml:space="preserve">advice on </w:t>
            </w:r>
            <w:r w:rsidR="00EF761E">
              <w:rPr>
                <w:rFonts w:ascii="Calibri" w:hAnsi="Calibri"/>
                <w:sz w:val="22"/>
              </w:rPr>
              <w:t xml:space="preserve">the </w:t>
            </w:r>
            <w:r w:rsidRPr="00C63BDF">
              <w:rPr>
                <w:rFonts w:ascii="Calibri" w:hAnsi="Calibri"/>
                <w:sz w:val="22"/>
              </w:rPr>
              <w:t>law and recommendations on good practice</w:t>
            </w:r>
            <w:r w:rsidR="00EF761E">
              <w:rPr>
                <w:rFonts w:ascii="Calibri" w:hAnsi="Calibri"/>
                <w:sz w:val="22"/>
              </w:rPr>
              <w:t>.</w:t>
            </w:r>
          </w:p>
          <w:p w14:paraId="3618EAB5" w14:textId="74F0F320" w:rsidR="000F3A49" w:rsidRDefault="000F3A49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  <w:p w14:paraId="42A7E4EC" w14:textId="235B2613" w:rsidR="00CB0859" w:rsidRDefault="000566AD" w:rsidP="00CB0859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In </w:t>
            </w:r>
            <w:r w:rsidR="006E00B8">
              <w:rPr>
                <w:rFonts w:ascii="Calibri" w:hAnsi="Calibri"/>
                <w:sz w:val="22"/>
              </w:rPr>
              <w:t>response</w:t>
            </w:r>
            <w:r>
              <w:rPr>
                <w:rFonts w:ascii="Calibri" w:hAnsi="Calibri"/>
                <w:sz w:val="22"/>
              </w:rPr>
              <w:t xml:space="preserve"> to Covid 19 </w:t>
            </w:r>
            <w:r w:rsidRPr="000566AD">
              <w:rPr>
                <w:rFonts w:ascii="Calibri" w:hAnsi="Calibri"/>
                <w:sz w:val="22"/>
              </w:rPr>
              <w:t xml:space="preserve">the ICO </w:t>
            </w:r>
            <w:r w:rsidR="00CB0859">
              <w:rPr>
                <w:rFonts w:ascii="Calibri" w:hAnsi="Calibri"/>
                <w:sz w:val="22"/>
              </w:rPr>
              <w:t xml:space="preserve">also </w:t>
            </w:r>
            <w:r w:rsidRPr="000566AD">
              <w:rPr>
                <w:rFonts w:ascii="Calibri" w:hAnsi="Calibri"/>
                <w:sz w:val="22"/>
              </w:rPr>
              <w:t xml:space="preserve">created </w:t>
            </w:r>
            <w:r>
              <w:rPr>
                <w:rFonts w:ascii="Calibri" w:hAnsi="Calibri"/>
                <w:sz w:val="22"/>
              </w:rPr>
              <w:t>a</w:t>
            </w:r>
            <w:r w:rsidR="003211D4">
              <w:rPr>
                <w:rFonts w:ascii="Calibri" w:hAnsi="Calibri"/>
                <w:sz w:val="22"/>
              </w:rPr>
              <w:t xml:space="preserve">n </w:t>
            </w:r>
            <w:r w:rsidRPr="000566AD">
              <w:rPr>
                <w:rFonts w:ascii="Calibri" w:hAnsi="Calibri"/>
                <w:sz w:val="22"/>
              </w:rPr>
              <w:t>information hub to support businesses</w:t>
            </w:r>
            <w:r w:rsidR="00845B93">
              <w:rPr>
                <w:rFonts w:ascii="Calibri" w:hAnsi="Calibri"/>
                <w:sz w:val="22"/>
              </w:rPr>
              <w:t xml:space="preserve"> including </w:t>
            </w:r>
            <w:r w:rsidR="00CB0859">
              <w:rPr>
                <w:rFonts w:ascii="Calibri" w:hAnsi="Calibri"/>
                <w:sz w:val="22"/>
              </w:rPr>
              <w:t>a</w:t>
            </w:r>
            <w:r w:rsidRPr="000566AD">
              <w:rPr>
                <w:rFonts w:ascii="Calibri" w:hAnsi="Calibri"/>
                <w:sz w:val="22"/>
              </w:rPr>
              <w:t xml:space="preserve">dvice on </w:t>
            </w:r>
            <w:r w:rsidR="00CB0859">
              <w:rPr>
                <w:rFonts w:ascii="Calibri" w:hAnsi="Calibri"/>
                <w:sz w:val="22"/>
              </w:rPr>
              <w:t xml:space="preserve">holding and sharing </w:t>
            </w:r>
            <w:r w:rsidR="006E00B8">
              <w:rPr>
                <w:rFonts w:ascii="Calibri" w:hAnsi="Calibri"/>
                <w:sz w:val="22"/>
              </w:rPr>
              <w:t>Covid</w:t>
            </w:r>
            <w:r w:rsidR="00CB0859">
              <w:rPr>
                <w:rFonts w:ascii="Calibri" w:hAnsi="Calibri"/>
                <w:sz w:val="22"/>
              </w:rPr>
              <w:t xml:space="preserve"> related information about employees and customers, </w:t>
            </w:r>
            <w:r w:rsidRPr="000566AD">
              <w:rPr>
                <w:rFonts w:ascii="Calibri" w:hAnsi="Calibri"/>
                <w:sz w:val="22"/>
              </w:rPr>
              <w:t>contact tracing</w:t>
            </w:r>
            <w:r w:rsidR="00CB0859">
              <w:rPr>
                <w:rFonts w:ascii="Calibri" w:hAnsi="Calibri"/>
                <w:sz w:val="22"/>
              </w:rPr>
              <w:t xml:space="preserve">, and home working. </w:t>
            </w:r>
          </w:p>
          <w:p w14:paraId="69106216" w14:textId="55635341" w:rsidR="00EF761E" w:rsidRDefault="005F3ABD" w:rsidP="00EF761E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The ICO o</w:t>
            </w:r>
            <w:r w:rsidR="000F3A49">
              <w:rPr>
                <w:rFonts w:ascii="Calibri" w:hAnsi="Calibri"/>
                <w:sz w:val="22"/>
              </w:rPr>
              <w:t>pen</w:t>
            </w:r>
            <w:r>
              <w:rPr>
                <w:rFonts w:ascii="Calibri" w:hAnsi="Calibri"/>
                <w:sz w:val="22"/>
              </w:rPr>
              <w:t xml:space="preserve">ed </w:t>
            </w:r>
            <w:r w:rsidR="000F3A49">
              <w:rPr>
                <w:rFonts w:ascii="Calibri" w:hAnsi="Calibri"/>
                <w:sz w:val="22"/>
              </w:rPr>
              <w:t>application</w:t>
            </w:r>
            <w:r>
              <w:rPr>
                <w:rFonts w:ascii="Calibri" w:hAnsi="Calibri"/>
                <w:sz w:val="22"/>
              </w:rPr>
              <w:t>s</w:t>
            </w:r>
            <w:r w:rsidR="000F3A49">
              <w:rPr>
                <w:rFonts w:ascii="Calibri" w:hAnsi="Calibri"/>
                <w:sz w:val="22"/>
              </w:rPr>
              <w:t xml:space="preserve"> to the </w:t>
            </w:r>
            <w:r>
              <w:rPr>
                <w:rFonts w:ascii="Calibri" w:hAnsi="Calibri"/>
                <w:sz w:val="22"/>
              </w:rPr>
              <w:t>ICO regulatory sandbox; a free service designed to support organisations using personal data to develop innovative products.</w:t>
            </w:r>
          </w:p>
          <w:p w14:paraId="1068336F" w14:textId="0889EE69" w:rsidR="00C262DF" w:rsidRDefault="00C262DF" w:rsidP="00EF761E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The ICO published it’s</w:t>
            </w:r>
            <w:r w:rsidRPr="00A446D4">
              <w:rPr>
                <w:rFonts w:ascii="Calibri" w:hAnsi="Calibri"/>
                <w:sz w:val="22"/>
              </w:rPr>
              <w:t xml:space="preserve"> </w:t>
            </w:r>
            <w:hyperlink r:id="rId15" w:history="1">
              <w:r w:rsidRPr="00AE2441">
                <w:rPr>
                  <w:rStyle w:val="Hyperlink"/>
                  <w:rFonts w:ascii="Calibri" w:hAnsi="Calibri"/>
                  <w:sz w:val="22"/>
                </w:rPr>
                <w:t>'Openness by design' strategy</w:t>
              </w:r>
            </w:hyperlink>
            <w:r w:rsidRPr="00A446D4">
              <w:rPr>
                <w:rFonts w:ascii="Calibri" w:hAnsi="Calibri"/>
                <w:sz w:val="22"/>
              </w:rPr>
              <w:t xml:space="preserve">, </w:t>
            </w:r>
            <w:r>
              <w:rPr>
                <w:rFonts w:ascii="Calibri" w:hAnsi="Calibri"/>
                <w:sz w:val="22"/>
              </w:rPr>
              <w:t>which</w:t>
            </w:r>
            <w:r w:rsidRPr="00A446D4">
              <w:rPr>
                <w:rFonts w:ascii="Calibri" w:hAnsi="Calibri"/>
                <w:sz w:val="22"/>
              </w:rPr>
              <w:t xml:space="preserve"> aim</w:t>
            </w:r>
            <w:r>
              <w:rPr>
                <w:rFonts w:ascii="Calibri" w:hAnsi="Calibri"/>
                <w:sz w:val="22"/>
              </w:rPr>
              <w:t>s</w:t>
            </w:r>
            <w:r w:rsidRPr="00A446D4">
              <w:rPr>
                <w:rFonts w:ascii="Calibri" w:hAnsi="Calibri"/>
                <w:sz w:val="22"/>
              </w:rPr>
              <w:t xml:space="preserve"> to ensure that access to information rights are upheld in a consistent and timely manner and operate effectively in a digital age.</w:t>
            </w:r>
          </w:p>
          <w:p w14:paraId="47195E59" w14:textId="45C9C827" w:rsidR="00E62938" w:rsidRDefault="00E62938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8B0552" w14:paraId="4F14F61D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83A" w14:textId="640F5648" w:rsidR="008B0552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Activity related to policy development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929" w14:textId="75DE73F6" w:rsidR="005F3ABD" w:rsidRDefault="005F3ABD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5F3ABD">
              <w:rPr>
                <w:rFonts w:ascii="Calibri" w:hAnsi="Calibri"/>
                <w:sz w:val="22"/>
              </w:rPr>
              <w:t xml:space="preserve">The Information Commissioner's Office launched </w:t>
            </w:r>
            <w:r>
              <w:rPr>
                <w:rFonts w:ascii="Calibri" w:hAnsi="Calibri"/>
                <w:sz w:val="22"/>
              </w:rPr>
              <w:t>consultations on</w:t>
            </w:r>
            <w:r w:rsidR="003211D4">
              <w:rPr>
                <w:rFonts w:ascii="Calibri" w:hAnsi="Calibri"/>
                <w:sz w:val="22"/>
              </w:rPr>
              <w:t xml:space="preserve"> its</w:t>
            </w:r>
            <w:r w:rsidR="00845B93">
              <w:rPr>
                <w:rFonts w:ascii="Calibri" w:hAnsi="Calibri"/>
                <w:sz w:val="22"/>
              </w:rPr>
              <w:t xml:space="preserve"> draft</w:t>
            </w:r>
            <w:r>
              <w:rPr>
                <w:rFonts w:ascii="Calibri" w:hAnsi="Calibri"/>
                <w:sz w:val="22"/>
              </w:rPr>
              <w:t>:</w:t>
            </w:r>
          </w:p>
          <w:p w14:paraId="22A78EF3" w14:textId="5C132310" w:rsidR="005F3ABD" w:rsidRDefault="005F3ABD" w:rsidP="005F3AB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/>
                <w:sz w:val="22"/>
              </w:rPr>
            </w:pPr>
            <w:r w:rsidRPr="005F3ABD">
              <w:rPr>
                <w:rFonts w:ascii="Calibri" w:hAnsi="Calibri"/>
                <w:sz w:val="22"/>
              </w:rPr>
              <w:t>Direct Marketing code of practice</w:t>
            </w:r>
            <w:r w:rsidR="003211D4">
              <w:rPr>
                <w:rFonts w:ascii="Calibri" w:hAnsi="Calibri"/>
                <w:sz w:val="22"/>
              </w:rPr>
              <w:t>; and</w:t>
            </w:r>
          </w:p>
          <w:p w14:paraId="74F3B02A" w14:textId="77777777" w:rsidR="00C262DF" w:rsidRDefault="005F3ABD" w:rsidP="00C262D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/>
                <w:sz w:val="22"/>
              </w:rPr>
            </w:pPr>
            <w:r w:rsidRPr="005F3ABD">
              <w:rPr>
                <w:rFonts w:ascii="Calibri" w:hAnsi="Calibri"/>
                <w:sz w:val="22"/>
              </w:rPr>
              <w:t>Statuto</w:t>
            </w:r>
            <w:r>
              <w:rPr>
                <w:rFonts w:ascii="Calibri" w:hAnsi="Calibri"/>
                <w:sz w:val="22"/>
              </w:rPr>
              <w:t>r</w:t>
            </w:r>
            <w:r w:rsidRPr="005F3ABD">
              <w:rPr>
                <w:rFonts w:ascii="Calibri" w:hAnsi="Calibri"/>
                <w:sz w:val="22"/>
              </w:rPr>
              <w:t>y Guidance document.</w:t>
            </w:r>
          </w:p>
          <w:p w14:paraId="35B3D591" w14:textId="133D3CEF" w:rsidR="002638B5" w:rsidRPr="002638B5" w:rsidRDefault="00C262DF" w:rsidP="00C262DF">
            <w:pPr>
              <w:spacing w:after="0" w:line="240" w:lineRule="auto"/>
              <w:rPr>
                <w:rFonts w:ascii="Calibri" w:hAnsi="Calibri"/>
                <w:color w:val="FF0000"/>
                <w:sz w:val="22"/>
              </w:rPr>
            </w:pPr>
            <w:r w:rsidRPr="00C262DF">
              <w:rPr>
                <w:rFonts w:ascii="Calibri" w:hAnsi="Calibri"/>
                <w:color w:val="000000" w:themeColor="text1"/>
                <w:sz w:val="22"/>
              </w:rPr>
              <w:t xml:space="preserve">The ICO also launched its new </w:t>
            </w:r>
            <w:hyperlink r:id="rId16" w:history="1">
              <w:r w:rsidRPr="00C262DF">
                <w:rPr>
                  <w:rStyle w:val="Hyperlink"/>
                  <w:rFonts w:ascii="Calibri" w:hAnsi="Calibri"/>
                  <w:sz w:val="22"/>
                </w:rPr>
                <w:t>Accountability Framework</w:t>
              </w:r>
            </w:hyperlink>
            <w:r w:rsidRPr="00C262DF">
              <w:rPr>
                <w:rFonts w:ascii="Calibri" w:hAnsi="Calibri"/>
                <w:color w:val="000000" w:themeColor="text1"/>
                <w:sz w:val="22"/>
              </w:rPr>
              <w:t xml:space="preserve">, a practical tool to help organisations manage their approach to privacy and to understand what good accountability looks like. </w:t>
            </w:r>
          </w:p>
        </w:tc>
      </w:tr>
      <w:tr w:rsidR="008B0552" w14:paraId="11CD10A2" w14:textId="77777777" w:rsidTr="05372E1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0929" w14:textId="21B16671" w:rsidR="008B0552" w:rsidRDefault="05372E10" w:rsidP="05372E10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5372E10">
              <w:rPr>
                <w:rFonts w:ascii="Calibri" w:hAnsi="Calibri" w:cs="Calibri"/>
                <w:sz w:val="22"/>
              </w:rPr>
              <w:t>Changes to management of regulator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8CA" w14:textId="2F5769A1" w:rsidR="003211D4" w:rsidRPr="003211D4" w:rsidRDefault="00BE27C1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  <w:r w:rsidRPr="003211D4">
              <w:rPr>
                <w:rFonts w:ascii="Calibri" w:hAnsi="Calibri"/>
                <w:sz w:val="22"/>
              </w:rPr>
              <w:t>Following consideration of the exclusion category there are no measures for the reporting period that qualify for the exclusion.</w:t>
            </w:r>
          </w:p>
        </w:tc>
      </w:tr>
    </w:tbl>
    <w:p w14:paraId="06AEDF55" w14:textId="77777777" w:rsidR="00747974" w:rsidRDefault="00747974" w:rsidP="00E51930">
      <w:pPr>
        <w:rPr>
          <w:rFonts w:ascii="Calibri" w:hAnsi="Calibri"/>
          <w:sz w:val="22"/>
        </w:rPr>
      </w:pPr>
    </w:p>
    <w:sectPr w:rsidR="00747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A155B" w14:textId="77777777" w:rsidR="005D3E2C" w:rsidRDefault="005D3E2C" w:rsidP="00D21385">
      <w:pPr>
        <w:spacing w:after="0" w:line="240" w:lineRule="auto"/>
      </w:pPr>
      <w:r>
        <w:separator/>
      </w:r>
    </w:p>
  </w:endnote>
  <w:endnote w:type="continuationSeparator" w:id="0">
    <w:p w14:paraId="58463DF0" w14:textId="77777777" w:rsidR="005D3E2C" w:rsidRDefault="005D3E2C" w:rsidP="00D2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0B064" w14:textId="77777777" w:rsidR="005D3E2C" w:rsidRDefault="005D3E2C" w:rsidP="00D21385">
      <w:pPr>
        <w:spacing w:after="0" w:line="240" w:lineRule="auto"/>
      </w:pPr>
      <w:r>
        <w:separator/>
      </w:r>
    </w:p>
  </w:footnote>
  <w:footnote w:type="continuationSeparator" w:id="0">
    <w:p w14:paraId="21E2C69E" w14:textId="77777777" w:rsidR="005D3E2C" w:rsidRDefault="005D3E2C" w:rsidP="00D21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417C"/>
    <w:multiLevelType w:val="hybridMultilevel"/>
    <w:tmpl w:val="DEA26E48"/>
    <w:lvl w:ilvl="0" w:tplc="3C641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2B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21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C7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C1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46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0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20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620"/>
    <w:multiLevelType w:val="hybridMultilevel"/>
    <w:tmpl w:val="9D204054"/>
    <w:lvl w:ilvl="0" w:tplc="4AB2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D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C4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6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4F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583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A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E5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3C0"/>
    <w:multiLevelType w:val="hybridMultilevel"/>
    <w:tmpl w:val="1ADCE3D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6D64B96"/>
    <w:multiLevelType w:val="hybridMultilevel"/>
    <w:tmpl w:val="ED74052E"/>
    <w:lvl w:ilvl="0" w:tplc="31FA9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CC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4A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2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6B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8E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43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4F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74AF"/>
    <w:multiLevelType w:val="hybridMultilevel"/>
    <w:tmpl w:val="5546F6B6"/>
    <w:lvl w:ilvl="0" w:tplc="4C40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E2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48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0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62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CE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0C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06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CC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4D6"/>
    <w:multiLevelType w:val="hybridMultilevel"/>
    <w:tmpl w:val="AA169608"/>
    <w:lvl w:ilvl="0" w:tplc="8648F0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71E"/>
    <w:multiLevelType w:val="hybridMultilevel"/>
    <w:tmpl w:val="4CA84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EEB"/>
    <w:multiLevelType w:val="hybridMultilevel"/>
    <w:tmpl w:val="C0B68512"/>
    <w:lvl w:ilvl="0" w:tplc="7316A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46B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8B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43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3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CB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4E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67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82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A0A82"/>
    <w:multiLevelType w:val="hybridMultilevel"/>
    <w:tmpl w:val="9C781FB2"/>
    <w:lvl w:ilvl="0" w:tplc="4704E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88F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A8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08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87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44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A8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42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61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B16F1"/>
    <w:multiLevelType w:val="hybridMultilevel"/>
    <w:tmpl w:val="D3201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30"/>
    <w:rsid w:val="00032B9F"/>
    <w:rsid w:val="000476FD"/>
    <w:rsid w:val="0005172E"/>
    <w:rsid w:val="000566AD"/>
    <w:rsid w:val="000869A1"/>
    <w:rsid w:val="00096AD9"/>
    <w:rsid w:val="000E4362"/>
    <w:rsid w:val="000F3A49"/>
    <w:rsid w:val="001420D9"/>
    <w:rsid w:val="00171474"/>
    <w:rsid w:val="001A5F88"/>
    <w:rsid w:val="001B2A5B"/>
    <w:rsid w:val="001B2BBE"/>
    <w:rsid w:val="001C1B34"/>
    <w:rsid w:val="001F0622"/>
    <w:rsid w:val="00214DC9"/>
    <w:rsid w:val="00220323"/>
    <w:rsid w:val="0022483E"/>
    <w:rsid w:val="00226C69"/>
    <w:rsid w:val="002638B5"/>
    <w:rsid w:val="002E2843"/>
    <w:rsid w:val="002F789E"/>
    <w:rsid w:val="003109DB"/>
    <w:rsid w:val="003211D4"/>
    <w:rsid w:val="003502FA"/>
    <w:rsid w:val="00354533"/>
    <w:rsid w:val="0035670C"/>
    <w:rsid w:val="003F0EEE"/>
    <w:rsid w:val="003F5A96"/>
    <w:rsid w:val="004161E3"/>
    <w:rsid w:val="00436A04"/>
    <w:rsid w:val="004737AE"/>
    <w:rsid w:val="00483411"/>
    <w:rsid w:val="004B69B6"/>
    <w:rsid w:val="004E72D1"/>
    <w:rsid w:val="00502E61"/>
    <w:rsid w:val="005261BC"/>
    <w:rsid w:val="005375CA"/>
    <w:rsid w:val="0054595A"/>
    <w:rsid w:val="005B39B1"/>
    <w:rsid w:val="005C3F3E"/>
    <w:rsid w:val="005D3E2C"/>
    <w:rsid w:val="005F3ABD"/>
    <w:rsid w:val="00665711"/>
    <w:rsid w:val="006718D8"/>
    <w:rsid w:val="006820DC"/>
    <w:rsid w:val="006C1FB1"/>
    <w:rsid w:val="006C5AD5"/>
    <w:rsid w:val="006E00B8"/>
    <w:rsid w:val="007344E1"/>
    <w:rsid w:val="00740360"/>
    <w:rsid w:val="007456B6"/>
    <w:rsid w:val="00747974"/>
    <w:rsid w:val="0077716E"/>
    <w:rsid w:val="007A2199"/>
    <w:rsid w:val="00802C10"/>
    <w:rsid w:val="00804B74"/>
    <w:rsid w:val="008366A8"/>
    <w:rsid w:val="00845B93"/>
    <w:rsid w:val="00890D5D"/>
    <w:rsid w:val="00891F72"/>
    <w:rsid w:val="008B0552"/>
    <w:rsid w:val="008C5C04"/>
    <w:rsid w:val="008E2CB5"/>
    <w:rsid w:val="0090662D"/>
    <w:rsid w:val="00912F73"/>
    <w:rsid w:val="00914F7C"/>
    <w:rsid w:val="00927489"/>
    <w:rsid w:val="0098467D"/>
    <w:rsid w:val="009A5D10"/>
    <w:rsid w:val="009D5E8A"/>
    <w:rsid w:val="009D5FA3"/>
    <w:rsid w:val="009D66AD"/>
    <w:rsid w:val="00A02BAC"/>
    <w:rsid w:val="00A03550"/>
    <w:rsid w:val="00A11DDB"/>
    <w:rsid w:val="00A7035A"/>
    <w:rsid w:val="00A72581"/>
    <w:rsid w:val="00AB317A"/>
    <w:rsid w:val="00AE707E"/>
    <w:rsid w:val="00AF3EFE"/>
    <w:rsid w:val="00AF5626"/>
    <w:rsid w:val="00B50F2E"/>
    <w:rsid w:val="00B65A34"/>
    <w:rsid w:val="00B75DD8"/>
    <w:rsid w:val="00BD7C5F"/>
    <w:rsid w:val="00BE27C1"/>
    <w:rsid w:val="00BF1201"/>
    <w:rsid w:val="00C0545F"/>
    <w:rsid w:val="00C110DB"/>
    <w:rsid w:val="00C262DF"/>
    <w:rsid w:val="00C33339"/>
    <w:rsid w:val="00C63BDF"/>
    <w:rsid w:val="00C6633E"/>
    <w:rsid w:val="00C70CFE"/>
    <w:rsid w:val="00CA2C22"/>
    <w:rsid w:val="00CA7A17"/>
    <w:rsid w:val="00CB0859"/>
    <w:rsid w:val="00CB58E0"/>
    <w:rsid w:val="00CE6E24"/>
    <w:rsid w:val="00D010E0"/>
    <w:rsid w:val="00D148B7"/>
    <w:rsid w:val="00D21385"/>
    <w:rsid w:val="00D500CF"/>
    <w:rsid w:val="00DB2740"/>
    <w:rsid w:val="00DB6EE4"/>
    <w:rsid w:val="00DB6EFA"/>
    <w:rsid w:val="00DE4139"/>
    <w:rsid w:val="00E51930"/>
    <w:rsid w:val="00E6065B"/>
    <w:rsid w:val="00E61537"/>
    <w:rsid w:val="00E62938"/>
    <w:rsid w:val="00E74FC1"/>
    <w:rsid w:val="00E75A16"/>
    <w:rsid w:val="00E83027"/>
    <w:rsid w:val="00EA1DC6"/>
    <w:rsid w:val="00EA3120"/>
    <w:rsid w:val="00ED0C7F"/>
    <w:rsid w:val="00EE4891"/>
    <w:rsid w:val="00EF761E"/>
    <w:rsid w:val="00F15A9E"/>
    <w:rsid w:val="00F24D05"/>
    <w:rsid w:val="00F34F2B"/>
    <w:rsid w:val="00F559DB"/>
    <w:rsid w:val="00F60139"/>
    <w:rsid w:val="00F73E02"/>
    <w:rsid w:val="00FA2C54"/>
    <w:rsid w:val="0468F3AB"/>
    <w:rsid w:val="05372E10"/>
    <w:rsid w:val="4F8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AED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30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Acronym">
    <w:name w:val="HTML Acronym"/>
    <w:basedOn w:val="DefaultParagraphFont"/>
    <w:uiPriority w:val="99"/>
    <w:semiHidden/>
    <w:unhideWhenUsed/>
    <w:rsid w:val="006820DC"/>
  </w:style>
  <w:style w:type="paragraph" w:styleId="ListParagraph">
    <w:name w:val="List Paragraph"/>
    <w:basedOn w:val="Normal"/>
    <w:uiPriority w:val="34"/>
    <w:qFormat/>
    <w:rsid w:val="00356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6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385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21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385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581"/>
    <w:rPr>
      <w:rFonts w:ascii="Tahoma" w:eastAsia="Calibri" w:hAnsi="Tahoma" w:cs="Tahoma"/>
      <w:sz w:val="16"/>
      <w:szCs w:val="16"/>
    </w:rPr>
  </w:style>
  <w:style w:type="table" w:customStyle="1" w:styleId="TableGrid1">
    <w:name w:val="Table Grid1"/>
    <w:basedOn w:val="TableNormal"/>
    <w:uiPriority w:val="39"/>
    <w:rsid w:val="00436A04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0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13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139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6E2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0E43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co.org.uk/about-the-ico/news-and-events/news-and-blogs/2020/09/accountability-framework-demonstrating-your-compliance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co.org.uk/media/about-the-ico/documents/2615190/openness_by_-design_strategy_201906.pdf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5cd43-30b7-45da-972d-05dc6321e6bd"/>
    <_dlc_DocId xmlns="6495cd43-30b7-45da-972d-05dc6321e6bd">CORP-184787090-2</_dlc_DocId>
    <_dlc_DocIdPersistId xmlns="6495cd43-30b7-45da-972d-05dc6321e6bd">false</_dlc_DocIdPersistId>
    <_dlc_DocIdUrl xmlns="6495cd43-30b7-45da-972d-05dc6321e6bd">
      <Url>https://edrm/sites/corp/cgov/PandP/_layouts/15/DocIdRedir.aspx?ID=CORP-184787090-2</Url>
      <Description>CORP-184787090-2</Description>
    </_dlc_DocIdUrl>
    <DLCPolicyLabelClientValue xmlns="6495cd43-30b7-45da-972d-05dc6321e6bd" xsi:nil="true"/>
    <Security_x0020_classification xmlns="6495cd43-30b7-45da-972d-05dc6321e6bd">Official</Security_x0020_classification>
    <Email_x0020_Date xmlns="6495cd43-30b7-45da-972d-05dc6321e6bd">2020-11-19T00:00:00+00:00</Email_x0020_Date>
    <DLCPolicyLabelLock xmlns="6495cd43-30b7-45da-972d-05dc6321e6bd" xsi:nil="true"/>
    <DLCPolicyLabelValue xmlns="6495cd43-30b7-45da-972d-05dc6321e6b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bfc18c49-0394-481a-ba4a-a4ceacd0e392" ContentTypeId="0x01010020270C6529EA0544B2EFE190A98965FD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CO General Document" ma:contentTypeID="0x01010020270C6529EA0544B2EFE190A98965FD0002B5851AEFDE9848A9C3446A84C2BE0D" ma:contentTypeVersion="333" ma:contentTypeDescription="Create a new document." ma:contentTypeScope="" ma:versionID="852b790da15e88d825d957912d054d20">
  <xsd:schema xmlns:xsd="http://www.w3.org/2001/XMLSchema" xmlns:xs="http://www.w3.org/2001/XMLSchema" xmlns:p="http://schemas.microsoft.com/office/2006/metadata/properties" xmlns:ns2="6495cd43-30b7-45da-972d-05dc6321e6bd" targetNamespace="http://schemas.microsoft.com/office/2006/metadata/properties" ma:root="true" ma:fieldsID="44deaedb811f12e2cb39e631739a9138" ns2:_="">
    <xsd:import namespace="6495cd43-30b7-45da-972d-05dc6321e6bd"/>
    <xsd:element name="properties">
      <xsd:complexType>
        <xsd:sequence>
          <xsd:element name="documentManagement">
            <xsd:complexType>
              <xsd:all>
                <xsd:element ref="ns2:Email_x0020_Date" minOccurs="0"/>
                <xsd:element ref="ns2:Security_x0020_classification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cd43-30b7-45da-972d-05dc6321e6bd" elementFormDefault="qualified">
    <xsd:import namespace="http://schemas.microsoft.com/office/2006/documentManagement/types"/>
    <xsd:import namespace="http://schemas.microsoft.com/office/infopath/2007/PartnerControls"/>
    <xsd:element name="Email_x0020_Date" ma:index="2" nillable="true" ma:displayName="Email Date" ma:format="DateOnly" ma:internalName="Email_x0020_Date">
      <xsd:simpleType>
        <xsd:restriction base="dms:DateTime"/>
      </xsd:simpleType>
    </xsd:element>
    <xsd:element name="Security_x0020_classification" ma:index="3" ma:displayName="Security classification" ma:default="Official" ma:format="Dropdown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0" nillable="true" ma:displayName="Taxonomy Catch All Column" ma:hidden="true" ma:list="{bb9bbd53-655f-4ab6-b89e-57fa117f12dc}" ma:internalName="TaxCatchAll" ma:showField="CatchAllData" ma:web="9599cbeb-6c01-4306-b23f-38f639f61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b9bbd53-655f-4ab6-b89e-57fa117f12dc}" ma:internalName="TaxCatchAllLabel" ma:readOnly="true" ma:showField="CatchAllDataLabel" ma:web="9599cbeb-6c01-4306-b23f-38f639f61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5CA4A-D7FF-4A81-94FB-FA94BA8A8EE9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495cd43-30b7-45da-972d-05dc6321e6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4B2DE7-F931-4F83-8652-260EFEBEFE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D726F2-05CB-4686-A6B7-F05EEAAA9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C1926A-ED10-0C49-988A-8BE2F9C447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68E181-D16E-4A67-9B6A-E13DD6DDFC3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2926BC8-04F4-4FC1-BC27-B88AA82DE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cd43-30b7-45da-972d-05dc6321e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</vt:lpstr>
    </vt:vector>
  </TitlesOfParts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Commissioning correspondence 2020</dc:title>
  <dc:creator/>
  <cp:lastModifiedBy/>
  <cp:revision>1</cp:revision>
  <dcterms:created xsi:type="dcterms:W3CDTF">2021-04-08T09:03:00Z</dcterms:created>
  <dcterms:modified xsi:type="dcterms:W3CDTF">2021-04-08T09:46:00Z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268;#Frameworks|148911a3-aaf2-4e70-b430-c1bd7d49e70e</vt:lpwstr>
  </property>
  <property fmtid="{D5CDD505-2E9C-101B-9397-08002B2CF9AE}" pid="3" name="ContentTypeId">
    <vt:lpwstr>0x01010020270C6529EA0544B2EFE190A98965FD0002B5851AEFDE9848A9C3446A84C2BE0D</vt:lpwstr>
  </property>
  <property fmtid="{D5CDD505-2E9C-101B-9397-08002B2CF9AE}" pid="4" name="TaxCatchAll">
    <vt:lpwstr>129;#Frameworks|148911a3-aaf2-4e70-b430-c1bd7d49e70e</vt:lpwstr>
  </property>
  <property fmtid="{D5CDD505-2E9C-101B-9397-08002B2CF9AE}" pid="5" name="m975189f4ba442ecbf67d4147307b177">
    <vt:lpwstr>Frameworks|148911a3-aaf2-4e70-b430-c1bd7d49e70e</vt:lpwstr>
  </property>
  <property fmtid="{D5CDD505-2E9C-101B-9397-08002B2CF9AE}" pid="6" name="Retention Label">
    <vt:lpwstr>HMG PPP Review</vt:lpwstr>
  </property>
  <property fmtid="{D5CDD505-2E9C-101B-9397-08002B2CF9AE}" pid="7" name="Government Body">
    <vt:lpwstr>BEIS</vt:lpwstr>
  </property>
  <property fmtid="{D5CDD505-2E9C-101B-9397-08002B2CF9AE}" pid="8" name="_dlc_DocId">
    <vt:lpwstr>2QFN7KK647Q6-1314368548-13763</vt:lpwstr>
  </property>
  <property fmtid="{D5CDD505-2E9C-101B-9397-08002B2CF9AE}" pid="9" name="_dlc_DocIdItemGuid">
    <vt:lpwstr>d2e05f7b-9e17-417e-8b7d-a80575586b2f</vt:lpwstr>
  </property>
  <property fmtid="{D5CDD505-2E9C-101B-9397-08002B2CF9AE}" pid="10" name="_dlc_DocIdUrl">
    <vt:lpwstr>https://beisgov.sharepoint.com/sites/beis/388/_layouts/15/DocIdRedir.aspx?ID=2QFN7KK647Q6-1314368548-13763, 2QFN7KK647Q6-1314368548-13763</vt:lpwstr>
  </property>
  <property fmtid="{D5CDD505-2E9C-101B-9397-08002B2CF9AE}" pid="11" name="LegacyPaperReason">
    <vt:lpwstr/>
  </property>
  <property fmtid="{D5CDD505-2E9C-101B-9397-08002B2CF9AE}" pid="12" name="MailAttachments">
    <vt:bool>false</vt:bool>
  </property>
  <property fmtid="{D5CDD505-2E9C-101B-9397-08002B2CF9AE}" pid="13" name="MailPreviewData">
    <vt:lpwstr/>
  </property>
  <property fmtid="{D5CDD505-2E9C-101B-9397-08002B2CF9AE}" pid="14" name="LegacyMovementHistory">
    <vt:lpwstr/>
  </property>
  <property fmtid="{D5CDD505-2E9C-101B-9397-08002B2CF9AE}" pid="15" name="xd_ProgID">
    <vt:lpwstr/>
  </property>
  <property fmtid="{D5CDD505-2E9C-101B-9397-08002B2CF9AE}" pid="16" name="_dlc_Exempt">
    <vt:bool>false</vt:bool>
  </property>
  <property fmtid="{D5CDD505-2E9C-101B-9397-08002B2CF9AE}" pid="17" name="MailIn-Reply-To">
    <vt:lpwstr/>
  </property>
  <property fmtid="{D5CDD505-2E9C-101B-9397-08002B2CF9AE}" pid="18" name="Held By">
    <vt:lpwstr/>
  </property>
  <property fmtid="{D5CDD505-2E9C-101B-9397-08002B2CF9AE}" pid="19" name="_dlc_BarcodeImage">
    <vt:lpwstr/>
  </property>
  <property fmtid="{D5CDD505-2E9C-101B-9397-08002B2CF9AE}" pid="20" name="DLCPolicyLabelLock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MailTo">
    <vt:lpwstr/>
  </property>
  <property fmtid="{D5CDD505-2E9C-101B-9397-08002B2CF9AE}" pid="24" name="LegacyHistoricalBarcode">
    <vt:lpwstr/>
  </property>
  <property fmtid="{D5CDD505-2E9C-101B-9397-08002B2CF9AE}" pid="25" name="MailFrom">
    <vt:lpwstr/>
  </property>
  <property fmtid="{D5CDD505-2E9C-101B-9397-08002B2CF9AE}" pid="26" name="MailOriginalSubject">
    <vt:lpwstr/>
  </property>
  <property fmtid="{D5CDD505-2E9C-101B-9397-08002B2CF9AE}" pid="27" name="LegacyAddresses">
    <vt:lpwstr/>
  </property>
  <property fmtid="{D5CDD505-2E9C-101B-9397-08002B2CF9AE}" pid="28" name="DLCPolicyLabelClientValue">
    <vt:lpwstr/>
  </property>
  <property fmtid="{D5CDD505-2E9C-101B-9397-08002B2CF9AE}" pid="29" name="MailCc">
    <vt:lpwstr/>
  </property>
  <property fmtid="{D5CDD505-2E9C-101B-9397-08002B2CF9AE}" pid="30" name="LegacyPhysicalObject">
    <vt:bool>false</vt:bool>
  </property>
  <property fmtid="{D5CDD505-2E9C-101B-9397-08002B2CF9AE}" pid="31" name="_dlc_BarcodePreview">
    <vt:lpwstr/>
  </property>
  <property fmtid="{D5CDD505-2E9C-101B-9397-08002B2CF9AE}" pid="32" name="LegacyAddressee">
    <vt:lpwstr/>
  </property>
  <property fmtid="{D5CDD505-2E9C-101B-9397-08002B2CF9AE}" pid="33" name="xd_Signature">
    <vt:bool>false</vt:bool>
  </property>
  <property fmtid="{D5CDD505-2E9C-101B-9397-08002B2CF9AE}" pid="34" name="MailReferences">
    <vt:lpwstr/>
  </property>
  <property fmtid="{D5CDD505-2E9C-101B-9397-08002B2CF9AE}" pid="35" name="Barcode">
    <vt:lpwstr/>
  </property>
  <property fmtid="{D5CDD505-2E9C-101B-9397-08002B2CF9AE}" pid="36" name="LegacySubject">
    <vt:lpwstr/>
  </property>
  <property fmtid="{D5CDD505-2E9C-101B-9397-08002B2CF9AE}" pid="37" name="LegacyBarcode">
    <vt:lpwstr/>
  </property>
  <property fmtid="{D5CDD505-2E9C-101B-9397-08002B2CF9AE}" pid="38" name="MailReply-To">
    <vt:lpwstr/>
  </property>
  <property fmtid="{D5CDD505-2E9C-101B-9397-08002B2CF9AE}" pid="39" name="LegacyForeignBarcode">
    <vt:lpwstr/>
  </property>
  <property fmtid="{D5CDD505-2E9C-101B-9397-08002B2CF9AE}" pid="40" name="DLCPolicyLabelValue">
    <vt:lpwstr/>
  </property>
  <property fmtid="{D5CDD505-2E9C-101B-9397-08002B2CF9AE}" pid="41" name="LegacyDisposition">
    <vt:lpwstr/>
  </property>
  <property fmtid="{D5CDD505-2E9C-101B-9397-08002B2CF9AE}" pid="42" name="LegacyOriginator">
    <vt:lpwstr/>
  </property>
  <property fmtid="{D5CDD505-2E9C-101B-9397-08002B2CF9AE}" pid="43" name="MailSubject">
    <vt:lpwstr/>
  </property>
  <property fmtid="{D5CDD505-2E9C-101B-9397-08002B2CF9AE}" pid="44" name="_dlc_BarcodeValue">
    <vt:lpwstr/>
  </property>
  <property fmtid="{D5CDD505-2E9C-101B-9397-08002B2CF9AE}" pid="45" name="MSIP_Label_ba62f585-b40f-4ab9-bafe-39150f03d124_Enabled">
    <vt:lpwstr>true</vt:lpwstr>
  </property>
  <property fmtid="{D5CDD505-2E9C-101B-9397-08002B2CF9AE}" pid="46" name="MSIP_Label_ba62f585-b40f-4ab9-bafe-39150f03d124_SetDate">
    <vt:lpwstr>2020-10-13T11:56:21Z</vt:lpwstr>
  </property>
  <property fmtid="{D5CDD505-2E9C-101B-9397-08002B2CF9AE}" pid="47" name="MSIP_Label_ba62f585-b40f-4ab9-bafe-39150f03d124_Method">
    <vt:lpwstr>Standard</vt:lpwstr>
  </property>
  <property fmtid="{D5CDD505-2E9C-101B-9397-08002B2CF9AE}" pid="48" name="MSIP_Label_ba62f585-b40f-4ab9-bafe-39150f03d124_Name">
    <vt:lpwstr>OFFICIAL</vt:lpwstr>
  </property>
  <property fmtid="{D5CDD505-2E9C-101B-9397-08002B2CF9AE}" pid="49" name="MSIP_Label_ba62f585-b40f-4ab9-bafe-39150f03d124_SiteId">
    <vt:lpwstr>cbac7005-02c1-43eb-b497-e6492d1b2dd8</vt:lpwstr>
  </property>
  <property fmtid="{D5CDD505-2E9C-101B-9397-08002B2CF9AE}" pid="50" name="MSIP_Label_ba62f585-b40f-4ab9-bafe-39150f03d124_ActionId">
    <vt:lpwstr>c7cdaa9d-d6ac-4d88-8c50-0000330f4dc9</vt:lpwstr>
  </property>
  <property fmtid="{D5CDD505-2E9C-101B-9397-08002B2CF9AE}" pid="51" name="MSIP_Label_ba62f585-b40f-4ab9-bafe-39150f03d124_ContentBits">
    <vt:lpwstr>0</vt:lpwstr>
  </property>
  <property fmtid="{D5CDD505-2E9C-101B-9397-08002B2CF9AE}" pid="52" name="TaxKeyword">
    <vt:lpwstr/>
  </property>
  <property fmtid="{D5CDD505-2E9C-101B-9397-08002B2CF9AE}" pid="53" name="TaxKeywordTaxHTField">
    <vt:lpwstr/>
  </property>
  <property fmtid="{D5CDD505-2E9C-101B-9397-08002B2CF9AE}" pid="54" name="MSIP_Label_43c3b674-32e1-4382-8a53-e395f4b43124_Enabled">
    <vt:lpwstr>true</vt:lpwstr>
  </property>
  <property fmtid="{D5CDD505-2E9C-101B-9397-08002B2CF9AE}" pid="55" name="MSIP_Label_43c3b674-32e1-4382-8a53-e395f4b43124_SetDate">
    <vt:lpwstr>2021-03-12T13:27:12Z</vt:lpwstr>
  </property>
  <property fmtid="{D5CDD505-2E9C-101B-9397-08002B2CF9AE}" pid="56" name="MSIP_Label_43c3b674-32e1-4382-8a53-e395f4b43124_Method">
    <vt:lpwstr>Privileged</vt:lpwstr>
  </property>
  <property fmtid="{D5CDD505-2E9C-101B-9397-08002B2CF9AE}" pid="57" name="MSIP_Label_43c3b674-32e1-4382-8a53-e395f4b43124_Name">
    <vt:lpwstr>General</vt:lpwstr>
  </property>
  <property fmtid="{D5CDD505-2E9C-101B-9397-08002B2CF9AE}" pid="58" name="MSIP_Label_43c3b674-32e1-4382-8a53-e395f4b43124_SiteId">
    <vt:lpwstr>50129323-8fab-4000-adc1-c4cfebfa21e6</vt:lpwstr>
  </property>
  <property fmtid="{D5CDD505-2E9C-101B-9397-08002B2CF9AE}" pid="59" name="MSIP_Label_43c3b674-32e1-4382-8a53-e395f4b43124_ActionId">
    <vt:lpwstr>c8b48f9f-7530-489e-95fa-a7233808a0ca</vt:lpwstr>
  </property>
  <property fmtid="{D5CDD505-2E9C-101B-9397-08002B2CF9AE}" pid="60" name="MSIP_Label_43c3b674-32e1-4382-8a53-e395f4b43124_ContentBits">
    <vt:lpwstr>0</vt:lpwstr>
  </property>
</Properties>
</file>