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169164" w14:textId="13C21152" w:rsidR="00C02B95" w:rsidRPr="0005285C" w:rsidRDefault="00C02B95" w:rsidP="00C02B95">
      <w:pPr>
        <w:rPr>
          <w:rFonts w:ascii="Georgia" w:hAnsi="Georgia"/>
          <w:color w:val="2F5496" w:themeColor="accent1" w:themeShade="BF"/>
          <w:sz w:val="40"/>
          <w:szCs w:val="40"/>
        </w:rPr>
      </w:pPr>
      <w:bookmarkStart w:id="0" w:name="_Hlk81993687"/>
      <w:r>
        <w:rPr>
          <w:rFonts w:ascii="Georgia" w:hAnsi="Georgia"/>
          <w:color w:val="2F5496" w:themeColor="accent1" w:themeShade="BF"/>
          <w:sz w:val="40"/>
          <w:szCs w:val="40"/>
        </w:rPr>
        <w:t>ICO call for views on incident reporting thresholds under NIS Regulations 2018</w:t>
      </w:r>
    </w:p>
    <w:p w14:paraId="2DD49646" w14:textId="77777777" w:rsidR="00C02B95" w:rsidRDefault="00C02B95" w:rsidP="00C02B95">
      <w:pPr>
        <w:rPr>
          <w:rFonts w:ascii="Verdana" w:hAnsi="Verdana"/>
        </w:rPr>
      </w:pPr>
    </w:p>
    <w:bookmarkEnd w:id="0"/>
    <w:p w14:paraId="6676036B" w14:textId="18F9325B" w:rsidR="00C02B95" w:rsidRDefault="00C02B95" w:rsidP="00C02B95">
      <w:pPr>
        <w:rPr>
          <w:rFonts w:ascii="Georgia" w:hAnsi="Georgia"/>
          <w:color w:val="2F5496" w:themeColor="accent1" w:themeShade="BF"/>
          <w:sz w:val="40"/>
          <w:szCs w:val="40"/>
        </w:rPr>
      </w:pPr>
      <w:r>
        <w:rPr>
          <w:rFonts w:ascii="Georgia" w:hAnsi="Georgia"/>
          <w:color w:val="2F5496" w:themeColor="accent1" w:themeShade="BF"/>
          <w:sz w:val="40"/>
          <w:szCs w:val="40"/>
        </w:rPr>
        <w:t>Background</w:t>
      </w:r>
    </w:p>
    <w:p w14:paraId="7A4D34F0" w14:textId="719C4770" w:rsidR="00C02B95" w:rsidRDefault="00C02B95" w:rsidP="00C02B95">
      <w:pPr>
        <w:rPr>
          <w:rFonts w:ascii="Verdana" w:hAnsi="Verdana"/>
        </w:rPr>
      </w:pPr>
    </w:p>
    <w:p w14:paraId="10F36D61" w14:textId="14020E8D" w:rsidR="00C02B95" w:rsidRPr="00C02B95" w:rsidRDefault="00C02B95" w:rsidP="00C02B95">
      <w:pPr>
        <w:rPr>
          <w:rFonts w:ascii="Verdana" w:hAnsi="Verdana"/>
        </w:rPr>
      </w:pPr>
      <w:r w:rsidRPr="00C02B95">
        <w:rPr>
          <w:rFonts w:ascii="Verdana" w:hAnsi="Verdana"/>
        </w:rPr>
        <w:t xml:space="preserve">Currently, incident reporting thresholds for digital services providers are set out in the NIS Regulations 2018 and the European Commission Implementing Regulation 151/2018. The thresholds were established when the UK was a member of the European Union (“EU”) and were set for a market size of 28 EU member states. </w:t>
      </w:r>
    </w:p>
    <w:p w14:paraId="4119ED28" w14:textId="77777777" w:rsidR="00C02B95" w:rsidRDefault="00C02B95" w:rsidP="00C02B95">
      <w:pPr>
        <w:rPr>
          <w:rFonts w:ascii="Verdana" w:hAnsi="Verdana"/>
        </w:rPr>
      </w:pPr>
    </w:p>
    <w:p w14:paraId="65B7DAA9" w14:textId="2BB3BA79" w:rsidR="00C02B95" w:rsidRPr="00C02B95" w:rsidRDefault="00C02B95" w:rsidP="00C02B95">
      <w:pPr>
        <w:rPr>
          <w:rFonts w:ascii="Verdana" w:hAnsi="Verdana"/>
        </w:rPr>
      </w:pPr>
      <w:r w:rsidRPr="00C02B95">
        <w:rPr>
          <w:rFonts w:ascii="Verdana" w:hAnsi="Verdana"/>
        </w:rPr>
        <w:t>Now that the UK has left the EU</w:t>
      </w:r>
      <w:r w:rsidR="00775C41">
        <w:rPr>
          <w:rFonts w:ascii="Verdana" w:hAnsi="Verdana"/>
        </w:rPr>
        <w:t>,</w:t>
      </w:r>
      <w:r w:rsidRPr="00C02B95">
        <w:rPr>
          <w:rFonts w:ascii="Verdana" w:hAnsi="Verdana"/>
        </w:rPr>
        <w:t xml:space="preserve"> it recognised that there is a deficiency in the NIS legislation surrounding the incident reporting thresholds.</w:t>
      </w:r>
      <w:r w:rsidR="00775C41">
        <w:rPr>
          <w:rFonts w:ascii="Verdana" w:hAnsi="Verdana"/>
        </w:rPr>
        <w:t xml:space="preserve"> </w:t>
      </w:r>
      <w:r w:rsidRPr="00C02B95">
        <w:rPr>
          <w:rFonts w:ascii="Verdana" w:hAnsi="Verdana"/>
        </w:rPr>
        <w:t xml:space="preserve">In July 2021, the Government launched a call for views proposing the amendment of the current legislative provisions to enable thresholds to be set which are relevant to the UK market. </w:t>
      </w:r>
    </w:p>
    <w:p w14:paraId="5018898A" w14:textId="77777777" w:rsidR="00C02B95" w:rsidRDefault="00C02B95" w:rsidP="00C02B95">
      <w:pPr>
        <w:rPr>
          <w:rFonts w:ascii="Verdana" w:hAnsi="Verdana"/>
        </w:rPr>
      </w:pPr>
    </w:p>
    <w:p w14:paraId="594C6D9E" w14:textId="76BC12B8" w:rsidR="00C02B95" w:rsidRDefault="00C02B95" w:rsidP="00C02B95">
      <w:pPr>
        <w:rPr>
          <w:rFonts w:ascii="Verdana" w:hAnsi="Verdana"/>
        </w:rPr>
      </w:pPr>
      <w:r w:rsidRPr="00C02B95">
        <w:rPr>
          <w:rFonts w:ascii="Verdana" w:hAnsi="Verdana"/>
        </w:rPr>
        <w:t>The Government propose</w:t>
      </w:r>
      <w:r w:rsidR="00D24BDD">
        <w:rPr>
          <w:rFonts w:ascii="Verdana" w:hAnsi="Verdana"/>
        </w:rPr>
        <w:t>s</w:t>
      </w:r>
      <w:r w:rsidRPr="00C02B95">
        <w:rPr>
          <w:rFonts w:ascii="Verdana" w:hAnsi="Verdana"/>
        </w:rPr>
        <w:t xml:space="preserve"> to lay a statutory instrument which would revoke Article 4</w:t>
      </w:r>
      <w:r w:rsidR="00775C41">
        <w:rPr>
          <w:rFonts w:ascii="Verdana" w:hAnsi="Verdana"/>
        </w:rPr>
        <w:t xml:space="preserve">, which sets out the thresholds, </w:t>
      </w:r>
      <w:r w:rsidRPr="00C02B95">
        <w:rPr>
          <w:rFonts w:ascii="Verdana" w:hAnsi="Verdana"/>
        </w:rPr>
        <w:t>from the UK retained version of the European Commission Implementing Regulation 151/2018</w:t>
      </w:r>
      <w:r w:rsidR="00775C41">
        <w:rPr>
          <w:rFonts w:ascii="Verdana" w:hAnsi="Verdana"/>
        </w:rPr>
        <w:t xml:space="preserve">. This would </w:t>
      </w:r>
      <w:r w:rsidRPr="00C02B95">
        <w:rPr>
          <w:rFonts w:ascii="Verdana" w:hAnsi="Verdana"/>
        </w:rPr>
        <w:t xml:space="preserve">allow the </w:t>
      </w:r>
      <w:r w:rsidR="00393252">
        <w:rPr>
          <w:rFonts w:ascii="Verdana" w:hAnsi="Verdana"/>
        </w:rPr>
        <w:t>Commissioner</w:t>
      </w:r>
      <w:r w:rsidRPr="00C02B95">
        <w:rPr>
          <w:rFonts w:ascii="Verdana" w:hAnsi="Verdana"/>
        </w:rPr>
        <w:t xml:space="preserve">, as the competent authority for digital service providers, to set the thresholds at a more appropriate level through guidance. Digital service providers would be required to have regard to these thresholds when determining whether they are required to notify the ICO of an incident under Regulation 12(3) of the NIS Regulations 2018. </w:t>
      </w:r>
    </w:p>
    <w:p w14:paraId="72E5D3FD" w14:textId="76028A37" w:rsidR="00393252" w:rsidRDefault="00393252" w:rsidP="00C02B95">
      <w:pPr>
        <w:rPr>
          <w:rFonts w:ascii="Verdana" w:hAnsi="Verdana"/>
        </w:rPr>
      </w:pPr>
    </w:p>
    <w:p w14:paraId="5A7D632E" w14:textId="46CA47FB" w:rsidR="00393252" w:rsidRDefault="00393252" w:rsidP="00C02B95">
      <w:pPr>
        <w:rPr>
          <w:rFonts w:ascii="Verdana" w:hAnsi="Verdana"/>
        </w:rPr>
      </w:pPr>
      <w:r>
        <w:rPr>
          <w:rFonts w:ascii="Verdana" w:hAnsi="Verdana"/>
        </w:rPr>
        <w:t xml:space="preserve">We are consulting on potential approaches to thresholds that would </w:t>
      </w:r>
      <w:r w:rsidR="00775C41">
        <w:rPr>
          <w:rFonts w:ascii="Verdana" w:hAnsi="Verdana"/>
        </w:rPr>
        <w:t xml:space="preserve">be </w:t>
      </w:r>
      <w:r>
        <w:rPr>
          <w:rFonts w:ascii="Verdana" w:hAnsi="Verdana"/>
        </w:rPr>
        <w:t>set out in the Commissioner’s guidance. The consultation will run for a period of 28 days</w:t>
      </w:r>
      <w:r w:rsidRPr="0005285C">
        <w:rPr>
          <w:rFonts w:ascii="Verdana" w:hAnsi="Verdana"/>
        </w:rPr>
        <w:t xml:space="preserve">, from </w:t>
      </w:r>
      <w:r w:rsidR="00216379">
        <w:rPr>
          <w:rFonts w:ascii="Verdana" w:hAnsi="Verdana"/>
        </w:rPr>
        <w:t>Thursday 9</w:t>
      </w:r>
      <w:r w:rsidR="0005285C" w:rsidRPr="0005285C">
        <w:rPr>
          <w:rFonts w:ascii="Verdana" w:hAnsi="Verdana"/>
        </w:rPr>
        <w:t xml:space="preserve"> September 2021 to </w:t>
      </w:r>
      <w:r w:rsidR="00216379">
        <w:rPr>
          <w:rFonts w:ascii="Verdana" w:hAnsi="Verdana"/>
        </w:rPr>
        <w:t>Thursday 7</w:t>
      </w:r>
      <w:bookmarkStart w:id="1" w:name="_GoBack"/>
      <w:bookmarkEnd w:id="1"/>
      <w:r w:rsidR="0005285C" w:rsidRPr="0005285C">
        <w:rPr>
          <w:rFonts w:ascii="Verdana" w:hAnsi="Verdana"/>
        </w:rPr>
        <w:t xml:space="preserve"> October 2021</w:t>
      </w:r>
      <w:r w:rsidR="0005285C">
        <w:rPr>
          <w:rFonts w:ascii="Verdana" w:hAnsi="Verdana"/>
        </w:rPr>
        <w:t xml:space="preserve">. </w:t>
      </w:r>
      <w:r>
        <w:rPr>
          <w:rFonts w:ascii="Verdana" w:hAnsi="Verdana"/>
        </w:rPr>
        <w:t xml:space="preserve">We will then </w:t>
      </w:r>
      <w:r w:rsidR="00775C41">
        <w:rPr>
          <w:rFonts w:ascii="Verdana" w:hAnsi="Verdana"/>
        </w:rPr>
        <w:t>analyse</w:t>
      </w:r>
      <w:r>
        <w:rPr>
          <w:rFonts w:ascii="Verdana" w:hAnsi="Verdana"/>
        </w:rPr>
        <w:t xml:space="preserve"> the results and </w:t>
      </w:r>
      <w:r w:rsidR="00775C41">
        <w:rPr>
          <w:rFonts w:ascii="Verdana" w:hAnsi="Verdana"/>
        </w:rPr>
        <w:t xml:space="preserve">use </w:t>
      </w:r>
      <w:r>
        <w:rPr>
          <w:rFonts w:ascii="Verdana" w:hAnsi="Verdana"/>
        </w:rPr>
        <w:t>the information provided to inform our assessment of the costs and benefits of the different options.</w:t>
      </w:r>
    </w:p>
    <w:p w14:paraId="26639039" w14:textId="54A0B2AC" w:rsidR="00393252" w:rsidRDefault="00393252" w:rsidP="00C02B95">
      <w:pPr>
        <w:rPr>
          <w:rFonts w:ascii="Verdana" w:hAnsi="Verdana"/>
        </w:rPr>
      </w:pPr>
    </w:p>
    <w:p w14:paraId="33F353C4" w14:textId="1CB83570" w:rsidR="00393252" w:rsidRPr="00C02B95" w:rsidRDefault="00393252" w:rsidP="00C02B95">
      <w:pPr>
        <w:rPr>
          <w:rFonts w:ascii="Verdana" w:hAnsi="Verdana"/>
        </w:rPr>
      </w:pPr>
      <w:r>
        <w:rPr>
          <w:rFonts w:ascii="Verdana" w:hAnsi="Verdana"/>
        </w:rPr>
        <w:t xml:space="preserve">In addition to the questions, we would also be interested in any wider evidence or analysis of the costs associated with the management of NIS incidents, either to digital service providers or users, </w:t>
      </w:r>
      <w:r w:rsidR="00D4703D">
        <w:rPr>
          <w:rFonts w:ascii="Verdana" w:hAnsi="Verdana"/>
        </w:rPr>
        <w:t>or of current reporting requirements.</w:t>
      </w:r>
    </w:p>
    <w:p w14:paraId="522FBC6A" w14:textId="58614999" w:rsidR="00315241" w:rsidRDefault="00315241">
      <w:pPr>
        <w:rPr>
          <w:rFonts w:ascii="Verdana" w:hAnsi="Verdana"/>
        </w:rPr>
      </w:pPr>
    </w:p>
    <w:p w14:paraId="4DAF3EB4" w14:textId="77777777" w:rsidR="00A01462" w:rsidRDefault="00A01462">
      <w:pPr>
        <w:spacing w:after="160" w:line="259" w:lineRule="auto"/>
        <w:rPr>
          <w:rFonts w:ascii="Georgia" w:hAnsi="Georgia"/>
          <w:color w:val="2F5496" w:themeColor="accent1" w:themeShade="BF"/>
          <w:sz w:val="40"/>
          <w:szCs w:val="40"/>
        </w:rPr>
      </w:pPr>
      <w:r>
        <w:rPr>
          <w:rFonts w:ascii="Georgia" w:hAnsi="Georgia"/>
          <w:color w:val="2F5496" w:themeColor="accent1" w:themeShade="BF"/>
          <w:sz w:val="40"/>
          <w:szCs w:val="40"/>
        </w:rPr>
        <w:br w:type="page"/>
      </w:r>
    </w:p>
    <w:p w14:paraId="40E3242E" w14:textId="28E0A88F" w:rsidR="00C02B95" w:rsidRDefault="00C02B95" w:rsidP="00C02B95">
      <w:pPr>
        <w:rPr>
          <w:rFonts w:ascii="Georgia" w:hAnsi="Georgia"/>
          <w:color w:val="2F5496" w:themeColor="accent1" w:themeShade="BF"/>
          <w:sz w:val="40"/>
          <w:szCs w:val="40"/>
        </w:rPr>
      </w:pPr>
      <w:r>
        <w:rPr>
          <w:rFonts w:ascii="Georgia" w:hAnsi="Georgia"/>
          <w:color w:val="2F5496" w:themeColor="accent1" w:themeShade="BF"/>
          <w:sz w:val="40"/>
          <w:szCs w:val="40"/>
        </w:rPr>
        <w:lastRenderedPageBreak/>
        <w:t xml:space="preserve">Current reporting requirements </w:t>
      </w:r>
    </w:p>
    <w:p w14:paraId="062E28CA" w14:textId="33DF91F1" w:rsidR="00C02B95" w:rsidRDefault="00C02B95" w:rsidP="00C02B95">
      <w:pPr>
        <w:rPr>
          <w:rFonts w:ascii="Georgia" w:hAnsi="Georgia"/>
          <w:color w:val="2F5496" w:themeColor="accent1" w:themeShade="BF"/>
          <w:sz w:val="40"/>
          <w:szCs w:val="40"/>
        </w:rPr>
      </w:pPr>
    </w:p>
    <w:p w14:paraId="22EEAC1C" w14:textId="53448D9A" w:rsidR="00C02B95" w:rsidRDefault="00C02B95" w:rsidP="00C02B95">
      <w:pPr>
        <w:rPr>
          <w:rFonts w:ascii="Verdana" w:hAnsi="Verdana"/>
        </w:rPr>
      </w:pPr>
      <w:r>
        <w:rPr>
          <w:rFonts w:ascii="Verdana" w:hAnsi="Verdana"/>
        </w:rPr>
        <w:t>Under the current legislation, a digital service provider must notify the Commissioner in writing about any incident having a substantial impact on the provision of any relevant digital services. In order to determine whether the impact of an incident is substantial, digital service providers must take into account:</w:t>
      </w:r>
    </w:p>
    <w:p w14:paraId="38166E3B" w14:textId="4F8F8ED8" w:rsidR="00C02B95" w:rsidRDefault="00C02B95" w:rsidP="00C02B95">
      <w:pPr>
        <w:rPr>
          <w:rFonts w:ascii="Verdana" w:hAnsi="Verdana"/>
        </w:rPr>
      </w:pPr>
    </w:p>
    <w:p w14:paraId="3DDFB02D" w14:textId="23EEAB7B" w:rsidR="00830C4B" w:rsidRPr="00821594" w:rsidRDefault="00830C4B" w:rsidP="00830C4B">
      <w:pPr>
        <w:pStyle w:val="legclearfix"/>
        <w:numPr>
          <w:ilvl w:val="0"/>
          <w:numId w:val="1"/>
        </w:numPr>
        <w:shd w:val="clear" w:color="auto" w:fill="FFFFFF"/>
        <w:spacing w:before="0" w:beforeAutospacing="0" w:after="120" w:afterAutospacing="0" w:line="360" w:lineRule="atLeast"/>
        <w:rPr>
          <w:rFonts w:ascii="Verdana" w:hAnsi="Verdana" w:cs="Arial"/>
        </w:rPr>
      </w:pPr>
      <w:r w:rsidRPr="00821594">
        <w:rPr>
          <w:rStyle w:val="legds"/>
          <w:rFonts w:ascii="Verdana" w:hAnsi="Verdana" w:cs="Arial"/>
        </w:rPr>
        <w:t>the number of users affected by the incident and, in particular, the users relying on the digital service for the provision of their own services;</w:t>
      </w:r>
    </w:p>
    <w:p w14:paraId="497682B7" w14:textId="1CE98617" w:rsidR="00830C4B" w:rsidRPr="00821594" w:rsidRDefault="00830C4B" w:rsidP="00830C4B">
      <w:pPr>
        <w:pStyle w:val="legclearfix"/>
        <w:numPr>
          <w:ilvl w:val="0"/>
          <w:numId w:val="1"/>
        </w:numPr>
        <w:shd w:val="clear" w:color="auto" w:fill="FFFFFF"/>
        <w:spacing w:before="0" w:beforeAutospacing="0" w:after="120" w:afterAutospacing="0" w:line="360" w:lineRule="atLeast"/>
        <w:rPr>
          <w:rFonts w:ascii="Verdana" w:hAnsi="Verdana" w:cs="Arial"/>
        </w:rPr>
      </w:pPr>
      <w:r w:rsidRPr="00821594">
        <w:rPr>
          <w:rStyle w:val="legds"/>
          <w:rFonts w:ascii="Verdana" w:hAnsi="Verdana" w:cs="Arial"/>
        </w:rPr>
        <w:t>the duration of the incident;</w:t>
      </w:r>
    </w:p>
    <w:p w14:paraId="6281948C" w14:textId="405FE465" w:rsidR="00830C4B" w:rsidRPr="00821594" w:rsidRDefault="00830C4B" w:rsidP="00830C4B">
      <w:pPr>
        <w:pStyle w:val="legclearfix"/>
        <w:numPr>
          <w:ilvl w:val="0"/>
          <w:numId w:val="1"/>
        </w:numPr>
        <w:shd w:val="clear" w:color="auto" w:fill="FFFFFF"/>
        <w:spacing w:before="0" w:beforeAutospacing="0" w:after="120" w:afterAutospacing="0" w:line="360" w:lineRule="atLeast"/>
        <w:rPr>
          <w:rFonts w:ascii="Verdana" w:hAnsi="Verdana" w:cs="Arial"/>
        </w:rPr>
      </w:pPr>
      <w:r w:rsidRPr="00821594">
        <w:rPr>
          <w:rStyle w:val="legds"/>
          <w:rFonts w:ascii="Verdana" w:hAnsi="Verdana" w:cs="Arial"/>
        </w:rPr>
        <w:t>the geographical area affected by the incident;</w:t>
      </w:r>
    </w:p>
    <w:p w14:paraId="202CB88C" w14:textId="799FE42A" w:rsidR="00830C4B" w:rsidRPr="00821594" w:rsidRDefault="00830C4B" w:rsidP="00830C4B">
      <w:pPr>
        <w:pStyle w:val="legclearfix"/>
        <w:numPr>
          <w:ilvl w:val="0"/>
          <w:numId w:val="1"/>
        </w:numPr>
        <w:shd w:val="clear" w:color="auto" w:fill="FFFFFF"/>
        <w:spacing w:before="0" w:beforeAutospacing="0" w:after="120" w:afterAutospacing="0" w:line="360" w:lineRule="atLeast"/>
        <w:rPr>
          <w:rFonts w:ascii="Verdana" w:hAnsi="Verdana" w:cs="Arial"/>
        </w:rPr>
      </w:pPr>
      <w:r w:rsidRPr="00821594">
        <w:rPr>
          <w:rStyle w:val="legds"/>
          <w:rFonts w:ascii="Verdana" w:hAnsi="Verdana" w:cs="Arial"/>
        </w:rPr>
        <w:t>the extent of the disruption to the functioning of the service; and</w:t>
      </w:r>
    </w:p>
    <w:p w14:paraId="6EB085BC" w14:textId="71FE9C2F" w:rsidR="00830C4B" w:rsidRPr="00821594" w:rsidRDefault="00830C4B" w:rsidP="00830C4B">
      <w:pPr>
        <w:pStyle w:val="legclearfix"/>
        <w:numPr>
          <w:ilvl w:val="0"/>
          <w:numId w:val="1"/>
        </w:numPr>
        <w:shd w:val="clear" w:color="auto" w:fill="FFFFFF"/>
        <w:spacing w:before="0" w:beforeAutospacing="0" w:after="120" w:afterAutospacing="0" w:line="360" w:lineRule="atLeast"/>
        <w:rPr>
          <w:rFonts w:ascii="Verdana" w:hAnsi="Verdana" w:cs="Arial"/>
        </w:rPr>
      </w:pPr>
      <w:proofErr w:type="gramStart"/>
      <w:r w:rsidRPr="00821594">
        <w:rPr>
          <w:rStyle w:val="legds"/>
          <w:rFonts w:ascii="Verdana" w:hAnsi="Verdana" w:cs="Arial"/>
        </w:rPr>
        <w:t>the</w:t>
      </w:r>
      <w:proofErr w:type="gramEnd"/>
      <w:r w:rsidRPr="00821594">
        <w:rPr>
          <w:rStyle w:val="legds"/>
          <w:rFonts w:ascii="Verdana" w:hAnsi="Verdana" w:cs="Arial"/>
        </w:rPr>
        <w:t xml:space="preserve"> extent of the impact on economic and societal activities. </w:t>
      </w:r>
    </w:p>
    <w:p w14:paraId="5167E443" w14:textId="77777777" w:rsidR="00C02B95" w:rsidRPr="00C02B95" w:rsidRDefault="00C02B95" w:rsidP="00830C4B">
      <w:pPr>
        <w:pStyle w:val="ListParagraph"/>
        <w:rPr>
          <w:rFonts w:ascii="Verdana" w:hAnsi="Verdana"/>
        </w:rPr>
      </w:pPr>
    </w:p>
    <w:p w14:paraId="2CF6C7B2" w14:textId="590DEB99" w:rsidR="00830C4B" w:rsidRDefault="00830C4B">
      <w:pPr>
        <w:rPr>
          <w:rFonts w:ascii="Verdana" w:hAnsi="Verdana"/>
        </w:rPr>
      </w:pPr>
      <w:r>
        <w:rPr>
          <w:rFonts w:ascii="Verdana" w:hAnsi="Verdana"/>
        </w:rPr>
        <w:t>In addition</w:t>
      </w:r>
      <w:r w:rsidR="00775C41">
        <w:rPr>
          <w:rFonts w:ascii="Verdana" w:hAnsi="Verdana"/>
        </w:rPr>
        <w:t>,</w:t>
      </w:r>
      <w:r>
        <w:rPr>
          <w:rFonts w:ascii="Verdana" w:hAnsi="Verdana"/>
        </w:rPr>
        <w:t xml:space="preserve"> the digital service provider must assess whether one of the following situations has taken place (Article 4 of 151/2018 Regulations):</w:t>
      </w:r>
    </w:p>
    <w:p w14:paraId="303862D9" w14:textId="77777777" w:rsidR="00821594" w:rsidRDefault="00821594">
      <w:pPr>
        <w:rPr>
          <w:rFonts w:ascii="Verdana" w:hAnsi="Verdana"/>
        </w:rPr>
      </w:pPr>
    </w:p>
    <w:p w14:paraId="08F6B100" w14:textId="003FD16E" w:rsidR="00830C4B" w:rsidRPr="00821594" w:rsidRDefault="00830C4B" w:rsidP="0007443E">
      <w:pPr>
        <w:pStyle w:val="legclearfix"/>
        <w:numPr>
          <w:ilvl w:val="0"/>
          <w:numId w:val="2"/>
        </w:numPr>
        <w:shd w:val="clear" w:color="auto" w:fill="FFFFFF"/>
        <w:spacing w:before="0" w:beforeAutospacing="0" w:after="240" w:afterAutospacing="0"/>
        <w:ind w:left="714" w:hanging="357"/>
        <w:rPr>
          <w:rFonts w:ascii="Verdana" w:hAnsi="Verdana" w:cs="Arial"/>
          <w:color w:val="000000"/>
        </w:rPr>
      </w:pPr>
      <w:r w:rsidRPr="00821594">
        <w:rPr>
          <w:rStyle w:val="legds"/>
          <w:rFonts w:ascii="Verdana" w:hAnsi="Verdana" w:cs="Arial"/>
          <w:color w:val="000000"/>
        </w:rPr>
        <w:t>the service provided by a digital service provider was unavailable for more than 5</w:t>
      </w:r>
      <w:r w:rsidR="00775C41">
        <w:rPr>
          <w:rStyle w:val="legds"/>
          <w:rFonts w:ascii="Verdana" w:hAnsi="Verdana" w:cs="Arial"/>
          <w:color w:val="000000"/>
        </w:rPr>
        <w:t>,</w:t>
      </w:r>
      <w:r w:rsidRPr="00821594">
        <w:rPr>
          <w:rStyle w:val="legds"/>
          <w:rFonts w:ascii="Verdana" w:hAnsi="Verdana" w:cs="Arial"/>
          <w:color w:val="000000"/>
        </w:rPr>
        <w:t>000</w:t>
      </w:r>
      <w:r w:rsidR="00775C41">
        <w:rPr>
          <w:rStyle w:val="legds"/>
          <w:rFonts w:ascii="Verdana" w:hAnsi="Verdana" w:cs="Arial"/>
          <w:color w:val="000000"/>
        </w:rPr>
        <w:t>,</w:t>
      </w:r>
      <w:r w:rsidRPr="00821594">
        <w:rPr>
          <w:rStyle w:val="legds"/>
          <w:rFonts w:ascii="Verdana" w:hAnsi="Verdana" w:cs="Arial"/>
          <w:color w:val="000000"/>
        </w:rPr>
        <w:t>000 user-hours</w:t>
      </w:r>
      <w:r w:rsidR="00775C41">
        <w:rPr>
          <w:rStyle w:val="legds"/>
          <w:rFonts w:ascii="Verdana" w:hAnsi="Verdana" w:cs="Arial"/>
          <w:color w:val="000000"/>
        </w:rPr>
        <w:t>,</w:t>
      </w:r>
      <w:r w:rsidRPr="00821594">
        <w:rPr>
          <w:rStyle w:val="legds"/>
          <w:rFonts w:ascii="Verdana" w:hAnsi="Verdana" w:cs="Arial"/>
          <w:color w:val="000000"/>
        </w:rPr>
        <w:t xml:space="preserve"> whereby the term user-hour refers to the number of affected users in the Union for a duration of 60 minutes;</w:t>
      </w:r>
    </w:p>
    <w:p w14:paraId="7AF1027F" w14:textId="2B522B6D" w:rsidR="00830C4B" w:rsidRPr="00821594" w:rsidRDefault="00830C4B" w:rsidP="0007443E">
      <w:pPr>
        <w:pStyle w:val="legclearfix"/>
        <w:numPr>
          <w:ilvl w:val="0"/>
          <w:numId w:val="2"/>
        </w:numPr>
        <w:shd w:val="clear" w:color="auto" w:fill="FFFFFF"/>
        <w:spacing w:before="0" w:beforeAutospacing="0" w:after="240" w:afterAutospacing="0"/>
        <w:ind w:left="714" w:hanging="357"/>
        <w:rPr>
          <w:rFonts w:ascii="Verdana" w:hAnsi="Verdana" w:cs="Arial"/>
          <w:color w:val="000000"/>
        </w:rPr>
      </w:pPr>
      <w:r w:rsidRPr="00821594">
        <w:rPr>
          <w:rStyle w:val="legds"/>
          <w:rFonts w:ascii="Verdana" w:hAnsi="Verdana" w:cs="Arial"/>
          <w:color w:val="000000"/>
        </w:rPr>
        <w:t>the incident has resulted in a loss of integrity, authenticity or confidentiality of stored or transmitted or processed data or the related services offered by, or accessible via a network and information system of the digital service provider affecting more than 100</w:t>
      </w:r>
      <w:r w:rsidR="00775C41">
        <w:rPr>
          <w:rStyle w:val="legds"/>
          <w:rFonts w:ascii="Verdana" w:hAnsi="Verdana" w:cs="Arial"/>
          <w:color w:val="000000"/>
        </w:rPr>
        <w:t>,</w:t>
      </w:r>
      <w:r w:rsidRPr="00821594">
        <w:rPr>
          <w:rStyle w:val="legds"/>
          <w:rFonts w:ascii="Verdana" w:hAnsi="Verdana" w:cs="Arial"/>
          <w:color w:val="000000"/>
        </w:rPr>
        <w:t>000 users in the Union;</w:t>
      </w:r>
    </w:p>
    <w:p w14:paraId="0AF9B681" w14:textId="4FF6A1D3" w:rsidR="00830C4B" w:rsidRPr="00821594" w:rsidRDefault="00830C4B" w:rsidP="0007443E">
      <w:pPr>
        <w:pStyle w:val="legclearfix"/>
        <w:numPr>
          <w:ilvl w:val="0"/>
          <w:numId w:val="2"/>
        </w:numPr>
        <w:shd w:val="clear" w:color="auto" w:fill="FFFFFF"/>
        <w:spacing w:before="0" w:beforeAutospacing="0" w:after="240" w:afterAutospacing="0"/>
        <w:ind w:left="714" w:hanging="357"/>
        <w:rPr>
          <w:rFonts w:ascii="Verdana" w:hAnsi="Verdana" w:cs="Arial"/>
          <w:color w:val="000000"/>
        </w:rPr>
      </w:pPr>
      <w:r w:rsidRPr="00821594">
        <w:rPr>
          <w:rStyle w:val="legds"/>
          <w:rFonts w:ascii="Verdana" w:hAnsi="Verdana" w:cs="Arial"/>
          <w:color w:val="000000"/>
        </w:rPr>
        <w:t>the incident has created a risk to public safety, public security or of loss of life; or</w:t>
      </w:r>
    </w:p>
    <w:p w14:paraId="28DB29CA" w14:textId="06DE5956" w:rsidR="00830C4B" w:rsidRPr="00821594" w:rsidRDefault="00830C4B" w:rsidP="0007443E">
      <w:pPr>
        <w:pStyle w:val="legclearfix"/>
        <w:numPr>
          <w:ilvl w:val="0"/>
          <w:numId w:val="2"/>
        </w:numPr>
        <w:shd w:val="clear" w:color="auto" w:fill="FFFFFF"/>
        <w:spacing w:before="0" w:beforeAutospacing="0" w:after="240" w:afterAutospacing="0"/>
        <w:ind w:left="714" w:hanging="357"/>
        <w:rPr>
          <w:rFonts w:ascii="Verdana" w:hAnsi="Verdana" w:cs="Arial"/>
          <w:color w:val="000000"/>
        </w:rPr>
      </w:pPr>
      <w:proofErr w:type="gramStart"/>
      <w:r w:rsidRPr="00821594">
        <w:rPr>
          <w:rStyle w:val="legds"/>
          <w:rFonts w:ascii="Verdana" w:hAnsi="Verdana" w:cs="Arial"/>
          <w:color w:val="000000"/>
        </w:rPr>
        <w:t>the</w:t>
      </w:r>
      <w:proofErr w:type="gramEnd"/>
      <w:r w:rsidRPr="00821594">
        <w:rPr>
          <w:rStyle w:val="legds"/>
          <w:rFonts w:ascii="Verdana" w:hAnsi="Verdana" w:cs="Arial"/>
          <w:color w:val="000000"/>
        </w:rPr>
        <w:t xml:space="preserve"> incident has caused material damage to at least one user in the Union where the damage caused to that user exceeds EUR 1</w:t>
      </w:r>
      <w:r w:rsidR="00775C41">
        <w:rPr>
          <w:rStyle w:val="legds"/>
          <w:rFonts w:ascii="Verdana" w:hAnsi="Verdana" w:cs="Arial"/>
          <w:color w:val="000000"/>
        </w:rPr>
        <w:t>,</w:t>
      </w:r>
      <w:r w:rsidRPr="00821594">
        <w:rPr>
          <w:rStyle w:val="legds"/>
          <w:rFonts w:ascii="Verdana" w:hAnsi="Verdana" w:cs="Arial"/>
          <w:color w:val="000000"/>
        </w:rPr>
        <w:t>000</w:t>
      </w:r>
      <w:r w:rsidR="00775C41">
        <w:rPr>
          <w:rStyle w:val="legds"/>
          <w:rFonts w:ascii="Verdana" w:hAnsi="Verdana" w:cs="Arial"/>
          <w:color w:val="000000"/>
        </w:rPr>
        <w:t>,</w:t>
      </w:r>
      <w:r w:rsidRPr="00821594">
        <w:rPr>
          <w:rStyle w:val="legds"/>
          <w:rFonts w:ascii="Verdana" w:hAnsi="Verdana" w:cs="Arial"/>
          <w:color w:val="000000"/>
        </w:rPr>
        <w:t>000.</w:t>
      </w:r>
    </w:p>
    <w:p w14:paraId="05620568" w14:textId="77777777" w:rsidR="00A01462" w:rsidRDefault="00A01462">
      <w:pPr>
        <w:spacing w:after="160" w:line="259" w:lineRule="auto"/>
        <w:rPr>
          <w:rFonts w:ascii="Georgia" w:hAnsi="Georgia"/>
          <w:color w:val="2F5496" w:themeColor="accent1" w:themeShade="BF"/>
          <w:sz w:val="40"/>
          <w:szCs w:val="40"/>
        </w:rPr>
      </w:pPr>
      <w:r>
        <w:rPr>
          <w:rFonts w:ascii="Georgia" w:hAnsi="Georgia"/>
          <w:color w:val="2F5496" w:themeColor="accent1" w:themeShade="BF"/>
          <w:sz w:val="40"/>
          <w:szCs w:val="40"/>
        </w:rPr>
        <w:br w:type="page"/>
      </w:r>
    </w:p>
    <w:p w14:paraId="00BF053B" w14:textId="5705678A" w:rsidR="00830C4B" w:rsidRDefault="00830C4B" w:rsidP="00830C4B">
      <w:pPr>
        <w:rPr>
          <w:rFonts w:ascii="Georgia" w:hAnsi="Georgia"/>
          <w:color w:val="2F5496" w:themeColor="accent1" w:themeShade="BF"/>
          <w:sz w:val="40"/>
          <w:szCs w:val="40"/>
        </w:rPr>
      </w:pPr>
      <w:r>
        <w:rPr>
          <w:rFonts w:ascii="Georgia" w:hAnsi="Georgia"/>
          <w:color w:val="2F5496" w:themeColor="accent1" w:themeShade="BF"/>
          <w:sz w:val="40"/>
          <w:szCs w:val="40"/>
        </w:rPr>
        <w:lastRenderedPageBreak/>
        <w:t xml:space="preserve">Proposed amendments to these requirements </w:t>
      </w:r>
    </w:p>
    <w:p w14:paraId="0430D84E" w14:textId="136C3C77" w:rsidR="00830C4B" w:rsidRDefault="00830C4B" w:rsidP="00830C4B">
      <w:pPr>
        <w:rPr>
          <w:rFonts w:ascii="Georgia" w:hAnsi="Georgia"/>
          <w:color w:val="2F5496" w:themeColor="accent1" w:themeShade="BF"/>
          <w:sz w:val="40"/>
          <w:szCs w:val="40"/>
        </w:rPr>
      </w:pPr>
      <w:r>
        <w:rPr>
          <w:rFonts w:ascii="Georgia" w:hAnsi="Georgia"/>
          <w:color w:val="2F5496" w:themeColor="accent1" w:themeShade="BF"/>
          <w:sz w:val="40"/>
          <w:szCs w:val="40"/>
        </w:rPr>
        <w:t xml:space="preserve"> </w:t>
      </w:r>
    </w:p>
    <w:p w14:paraId="0276062F" w14:textId="304642F1" w:rsidR="00393252" w:rsidRDefault="00830C4B">
      <w:pPr>
        <w:rPr>
          <w:rFonts w:ascii="Verdana" w:hAnsi="Verdana"/>
        </w:rPr>
      </w:pPr>
      <w:r>
        <w:rPr>
          <w:rFonts w:ascii="Verdana" w:hAnsi="Verdana"/>
        </w:rPr>
        <w:t>Under the new proposals, digital service providers would no longer be required to assess whether one of the situations referred to in Article 4 has occurred when deciding whether to notify the Commissioner about an incident. However</w:t>
      </w:r>
      <w:r w:rsidR="00775C41">
        <w:rPr>
          <w:rFonts w:ascii="Verdana" w:hAnsi="Verdana"/>
        </w:rPr>
        <w:t xml:space="preserve">, </w:t>
      </w:r>
      <w:r>
        <w:rPr>
          <w:rFonts w:ascii="Verdana" w:hAnsi="Verdana"/>
        </w:rPr>
        <w:t xml:space="preserve">digital service providers would be required to have regard to incident thresholds set by the Commissioner in guidance. </w:t>
      </w:r>
    </w:p>
    <w:p w14:paraId="695B9D40" w14:textId="77777777" w:rsidR="00393252" w:rsidRDefault="00393252">
      <w:pPr>
        <w:rPr>
          <w:rFonts w:ascii="Verdana" w:hAnsi="Verdana"/>
        </w:rPr>
      </w:pPr>
    </w:p>
    <w:p w14:paraId="2A0A12AF" w14:textId="03E8C986" w:rsidR="00830C4B" w:rsidRDefault="00393252">
      <w:pPr>
        <w:rPr>
          <w:rFonts w:ascii="Verdana" w:hAnsi="Verdana"/>
        </w:rPr>
      </w:pPr>
      <w:r>
        <w:rPr>
          <w:rFonts w:ascii="Verdana" w:hAnsi="Verdana"/>
        </w:rPr>
        <w:t xml:space="preserve">We are consulting on two proposed approaches to the thresholds that would be contained within the Commissioner’s guidance. These are set out below. </w:t>
      </w:r>
    </w:p>
    <w:p w14:paraId="7E340AF5" w14:textId="3F528B59" w:rsidR="00830C4B" w:rsidRDefault="00830C4B">
      <w:pPr>
        <w:rPr>
          <w:rFonts w:ascii="Verdana" w:hAnsi="Verdana"/>
        </w:rPr>
      </w:pPr>
    </w:p>
    <w:p w14:paraId="0619D889" w14:textId="4CA70183" w:rsidR="002922FA" w:rsidRPr="002922FA" w:rsidRDefault="0002528B">
      <w:pPr>
        <w:rPr>
          <w:rFonts w:ascii="Georgia" w:hAnsi="Georgia"/>
          <w:color w:val="2F5496" w:themeColor="accent1" w:themeShade="BF"/>
          <w:sz w:val="40"/>
          <w:szCs w:val="40"/>
        </w:rPr>
      </w:pPr>
      <w:r>
        <w:rPr>
          <w:rFonts w:ascii="Georgia" w:hAnsi="Georgia"/>
          <w:color w:val="2F5496" w:themeColor="accent1" w:themeShade="BF"/>
          <w:sz w:val="40"/>
          <w:szCs w:val="40"/>
        </w:rPr>
        <w:t>Proposed incident thresholds</w:t>
      </w:r>
    </w:p>
    <w:p w14:paraId="6C688792" w14:textId="0125D35F" w:rsidR="0002528B" w:rsidRDefault="0002528B">
      <w:pPr>
        <w:rPr>
          <w:rFonts w:ascii="Georgia" w:hAnsi="Georgia"/>
          <w:color w:val="2F5496" w:themeColor="accent1" w:themeShade="BF"/>
          <w:sz w:val="40"/>
          <w:szCs w:val="40"/>
        </w:rPr>
      </w:pPr>
    </w:p>
    <w:p w14:paraId="232A8335" w14:textId="4199193D" w:rsidR="0002528B" w:rsidRDefault="0002528B">
      <w:pPr>
        <w:rPr>
          <w:rFonts w:ascii="Georgia" w:hAnsi="Georgia"/>
          <w:color w:val="2F5496" w:themeColor="accent1" w:themeShade="BF"/>
          <w:sz w:val="32"/>
          <w:szCs w:val="32"/>
        </w:rPr>
      </w:pPr>
      <w:r>
        <w:rPr>
          <w:rFonts w:ascii="Georgia" w:hAnsi="Georgia"/>
          <w:color w:val="2F5496" w:themeColor="accent1" w:themeShade="BF"/>
          <w:sz w:val="32"/>
          <w:szCs w:val="32"/>
        </w:rPr>
        <w:t xml:space="preserve">Proposal 1 – </w:t>
      </w:r>
      <w:r w:rsidR="00D00DCF">
        <w:rPr>
          <w:rFonts w:ascii="Georgia" w:hAnsi="Georgia"/>
          <w:color w:val="2F5496" w:themeColor="accent1" w:themeShade="BF"/>
          <w:sz w:val="32"/>
          <w:szCs w:val="32"/>
        </w:rPr>
        <w:t>Revise existing</w:t>
      </w:r>
      <w:r>
        <w:rPr>
          <w:rFonts w:ascii="Georgia" w:hAnsi="Georgia"/>
          <w:color w:val="2F5496" w:themeColor="accent1" w:themeShade="BF"/>
          <w:sz w:val="32"/>
          <w:szCs w:val="32"/>
        </w:rPr>
        <w:t xml:space="preserve"> thresholds so that they are applicable to UK markets </w:t>
      </w:r>
    </w:p>
    <w:p w14:paraId="035EE4A2" w14:textId="6A75D166" w:rsidR="002922FA" w:rsidRDefault="002922FA">
      <w:pPr>
        <w:rPr>
          <w:rFonts w:ascii="Georgia" w:hAnsi="Georgia"/>
          <w:color w:val="2F5496" w:themeColor="accent1" w:themeShade="BF"/>
          <w:sz w:val="32"/>
          <w:szCs w:val="32"/>
        </w:rPr>
      </w:pPr>
    </w:p>
    <w:p w14:paraId="44EF18E3" w14:textId="1282F4EA" w:rsidR="002922FA" w:rsidRDefault="00E94E6A">
      <w:pPr>
        <w:rPr>
          <w:rFonts w:ascii="Verdana" w:hAnsi="Verdana"/>
        </w:rPr>
      </w:pPr>
      <w:r>
        <w:rPr>
          <w:rFonts w:ascii="Verdana" w:hAnsi="Verdana"/>
        </w:rPr>
        <w:t xml:space="preserve">The existing incident thresholds were established </w:t>
      </w:r>
      <w:r w:rsidR="00B34BC0">
        <w:rPr>
          <w:rFonts w:ascii="Verdana" w:hAnsi="Verdana"/>
        </w:rPr>
        <w:t>taking into account a market of 2</w:t>
      </w:r>
      <w:r w:rsidR="00D454DF">
        <w:rPr>
          <w:rFonts w:ascii="Verdana" w:hAnsi="Verdana"/>
        </w:rPr>
        <w:t xml:space="preserve">8 EU member states. </w:t>
      </w:r>
      <w:r w:rsidR="005D05D1">
        <w:rPr>
          <w:rFonts w:ascii="Verdana" w:hAnsi="Verdana"/>
        </w:rPr>
        <w:t xml:space="preserve">This </w:t>
      </w:r>
      <w:r w:rsidR="00AF555B">
        <w:rPr>
          <w:rFonts w:ascii="Verdana" w:hAnsi="Verdana"/>
        </w:rPr>
        <w:t xml:space="preserve">proposal adopts the existing considerations but </w:t>
      </w:r>
      <w:r w:rsidR="00C875E8">
        <w:rPr>
          <w:rFonts w:ascii="Verdana" w:hAnsi="Verdana"/>
        </w:rPr>
        <w:t xml:space="preserve">with revised numerical thresholds, to take account of the smaller UK market. </w:t>
      </w:r>
    </w:p>
    <w:p w14:paraId="37B2A9DD" w14:textId="77777777" w:rsidR="00413FD8" w:rsidRDefault="00413FD8">
      <w:pPr>
        <w:rPr>
          <w:rFonts w:ascii="Verdana" w:hAnsi="Verdana"/>
        </w:rPr>
      </w:pPr>
    </w:p>
    <w:p w14:paraId="3C0D8D30" w14:textId="22FD00EC" w:rsidR="00413FD8" w:rsidRDefault="00B62A98" w:rsidP="00E14A91">
      <w:pPr>
        <w:jc w:val="both"/>
        <w:rPr>
          <w:rFonts w:ascii="Verdana" w:hAnsi="Verdana"/>
        </w:rPr>
      </w:pPr>
      <w:r>
        <w:rPr>
          <w:rFonts w:ascii="Verdana" w:hAnsi="Verdana"/>
        </w:rPr>
        <w:t xml:space="preserve">The revised numerical thresholds are intended to be </w:t>
      </w:r>
      <w:r w:rsidR="00610892">
        <w:rPr>
          <w:rFonts w:ascii="Verdana" w:hAnsi="Verdana"/>
        </w:rPr>
        <w:t>proportionate</w:t>
      </w:r>
      <w:r w:rsidR="00EC1CD8">
        <w:rPr>
          <w:rFonts w:ascii="Verdana" w:hAnsi="Verdana"/>
        </w:rPr>
        <w:t xml:space="preserve"> to the size of the UK market.</w:t>
      </w:r>
    </w:p>
    <w:p w14:paraId="5F191DCC" w14:textId="61990090" w:rsidR="00EC1CD8" w:rsidRDefault="00EC1CD8" w:rsidP="00E14A91">
      <w:pPr>
        <w:jc w:val="both"/>
        <w:rPr>
          <w:rFonts w:ascii="Verdana" w:hAnsi="Verdana"/>
        </w:rPr>
      </w:pPr>
    </w:p>
    <w:p w14:paraId="45B76BE7" w14:textId="5BFA8C67" w:rsidR="00EC1CD8" w:rsidRDefault="000311ED" w:rsidP="00E14A91">
      <w:pPr>
        <w:jc w:val="both"/>
        <w:rPr>
          <w:rFonts w:ascii="Georgia" w:hAnsi="Georgia"/>
          <w:color w:val="2F5496" w:themeColor="accent1" w:themeShade="BF"/>
          <w:sz w:val="32"/>
          <w:szCs w:val="32"/>
        </w:rPr>
      </w:pPr>
      <w:r>
        <w:rPr>
          <w:rFonts w:ascii="Georgia" w:hAnsi="Georgia"/>
          <w:color w:val="2F5496" w:themeColor="accent1" w:themeShade="BF"/>
          <w:sz w:val="32"/>
          <w:szCs w:val="32"/>
        </w:rPr>
        <w:t xml:space="preserve">Proposed text </w:t>
      </w:r>
      <w:r w:rsidR="00091ADD">
        <w:rPr>
          <w:rFonts w:ascii="Georgia" w:hAnsi="Georgia"/>
          <w:color w:val="2F5496" w:themeColor="accent1" w:themeShade="BF"/>
          <w:sz w:val="32"/>
          <w:szCs w:val="32"/>
        </w:rPr>
        <w:t xml:space="preserve">within guidance </w:t>
      </w:r>
    </w:p>
    <w:p w14:paraId="6117E878" w14:textId="77777777" w:rsidR="001E0CC4" w:rsidRPr="001E0CC4" w:rsidRDefault="001E0CC4" w:rsidP="001E0CC4">
      <w:pPr>
        <w:pStyle w:val="Subtitle"/>
        <w:rPr>
          <w:color w:val="2F5496" w:themeColor="accent1" w:themeShade="BF"/>
        </w:rPr>
      </w:pPr>
      <w:r w:rsidRPr="001E0CC4">
        <w:rPr>
          <w:color w:val="2F5496" w:themeColor="accent1" w:themeShade="BF"/>
        </w:rPr>
        <w:t>How do we determine if we need to notify?</w:t>
      </w:r>
    </w:p>
    <w:p w14:paraId="6D3E1EEE" w14:textId="6AB99A73" w:rsidR="001E0CC4" w:rsidRDefault="001E0CC4" w:rsidP="001E0CC4">
      <w:pPr>
        <w:rPr>
          <w:rFonts w:ascii="Verdana" w:hAnsi="Verdana"/>
        </w:rPr>
      </w:pPr>
      <w:r w:rsidRPr="001E0CC4">
        <w:rPr>
          <w:rFonts w:ascii="Verdana" w:hAnsi="Verdana"/>
        </w:rPr>
        <w:t>You need to assess whether the incident caused a ‘substantial impact on the provision’ of your digital service(s) in order to decide if you need to notify.</w:t>
      </w:r>
    </w:p>
    <w:p w14:paraId="6D671B8B" w14:textId="77777777" w:rsidR="00122B3B" w:rsidRPr="001E0CC4" w:rsidRDefault="00122B3B" w:rsidP="001E0CC4">
      <w:pPr>
        <w:rPr>
          <w:rFonts w:ascii="Verdana" w:hAnsi="Verdana"/>
        </w:rPr>
      </w:pPr>
    </w:p>
    <w:p w14:paraId="03357A6A" w14:textId="77777777" w:rsidR="001E0CC4" w:rsidRPr="001E0CC4" w:rsidRDefault="001E0CC4" w:rsidP="001E0CC4">
      <w:pPr>
        <w:rPr>
          <w:rFonts w:ascii="Verdana" w:hAnsi="Verdana"/>
        </w:rPr>
      </w:pPr>
      <w:r w:rsidRPr="001E0CC4">
        <w:rPr>
          <w:rFonts w:ascii="Verdana" w:hAnsi="Verdana"/>
        </w:rPr>
        <w:t>Regulation 12(7) provides further details on how you can make this determination. This refers to provisions within Article 3 of the DSP Regulation. In short, when determining the impact of an incident you must take into account:</w:t>
      </w:r>
    </w:p>
    <w:p w14:paraId="35A5E1FE" w14:textId="77777777" w:rsidR="001E0CC4" w:rsidRPr="001E0CC4" w:rsidRDefault="001E0CC4" w:rsidP="001E0CC4">
      <w:pPr>
        <w:numPr>
          <w:ilvl w:val="0"/>
          <w:numId w:val="13"/>
        </w:numPr>
        <w:shd w:val="clear" w:color="auto" w:fill="FFFFFF"/>
        <w:spacing w:before="100" w:beforeAutospacing="1" w:after="100" w:afterAutospacing="1"/>
        <w:rPr>
          <w:rFonts w:ascii="Verdana" w:hAnsi="Verdana" w:cs="Times New Roman"/>
          <w:color w:val="000000"/>
        </w:rPr>
      </w:pPr>
      <w:r w:rsidRPr="001E0CC4">
        <w:rPr>
          <w:rFonts w:ascii="Verdana" w:hAnsi="Verdana" w:cs="Times New Roman"/>
          <w:color w:val="000000"/>
        </w:rPr>
        <w:t>the number of users affected by the incident, in particular those relying on the service for the provision of their own services;</w:t>
      </w:r>
    </w:p>
    <w:p w14:paraId="37DB8A91" w14:textId="77777777" w:rsidR="001E0CC4" w:rsidRPr="001E0CC4" w:rsidRDefault="001E0CC4" w:rsidP="001E0CC4">
      <w:pPr>
        <w:numPr>
          <w:ilvl w:val="0"/>
          <w:numId w:val="13"/>
        </w:numPr>
        <w:shd w:val="clear" w:color="auto" w:fill="FFFFFF"/>
        <w:spacing w:before="120" w:after="100" w:afterAutospacing="1"/>
        <w:rPr>
          <w:rFonts w:ascii="Verdana" w:hAnsi="Verdana" w:cs="Times New Roman"/>
          <w:color w:val="000000"/>
        </w:rPr>
      </w:pPr>
      <w:r w:rsidRPr="001E0CC4">
        <w:rPr>
          <w:rFonts w:ascii="Verdana" w:hAnsi="Verdana" w:cs="Times New Roman"/>
          <w:color w:val="000000"/>
        </w:rPr>
        <w:t>the duration of the incident;</w:t>
      </w:r>
    </w:p>
    <w:p w14:paraId="7C5FBD7B" w14:textId="77777777" w:rsidR="001E0CC4" w:rsidRPr="001E0CC4" w:rsidRDefault="001E0CC4" w:rsidP="001E0CC4">
      <w:pPr>
        <w:numPr>
          <w:ilvl w:val="0"/>
          <w:numId w:val="13"/>
        </w:numPr>
        <w:shd w:val="clear" w:color="auto" w:fill="FFFFFF"/>
        <w:spacing w:before="120" w:after="100" w:afterAutospacing="1"/>
        <w:rPr>
          <w:rFonts w:ascii="Verdana" w:hAnsi="Verdana" w:cs="Times New Roman"/>
          <w:color w:val="000000"/>
        </w:rPr>
      </w:pPr>
      <w:r w:rsidRPr="001E0CC4">
        <w:rPr>
          <w:rFonts w:ascii="Verdana" w:hAnsi="Verdana" w:cs="Times New Roman"/>
          <w:color w:val="000000"/>
        </w:rPr>
        <w:lastRenderedPageBreak/>
        <w:t>the geographical spread with regard to the area affected;</w:t>
      </w:r>
    </w:p>
    <w:p w14:paraId="7FF50B98" w14:textId="77777777" w:rsidR="001E0CC4" w:rsidRPr="001E0CC4" w:rsidRDefault="001E0CC4" w:rsidP="001E0CC4">
      <w:pPr>
        <w:numPr>
          <w:ilvl w:val="0"/>
          <w:numId w:val="13"/>
        </w:numPr>
        <w:shd w:val="clear" w:color="auto" w:fill="FFFFFF"/>
        <w:spacing w:before="120" w:after="100" w:afterAutospacing="1"/>
        <w:rPr>
          <w:rFonts w:ascii="Verdana" w:hAnsi="Verdana" w:cs="Times New Roman"/>
          <w:color w:val="000000"/>
        </w:rPr>
      </w:pPr>
      <w:r w:rsidRPr="001E0CC4">
        <w:rPr>
          <w:rFonts w:ascii="Verdana" w:hAnsi="Verdana" w:cs="Times New Roman"/>
          <w:color w:val="000000"/>
        </w:rPr>
        <w:t>the extent of the disruption of the functioning of the service;</w:t>
      </w:r>
    </w:p>
    <w:p w14:paraId="76CAC66B" w14:textId="77777777" w:rsidR="001E0CC4" w:rsidRPr="001E0CC4" w:rsidRDefault="001E0CC4" w:rsidP="001E0CC4">
      <w:pPr>
        <w:numPr>
          <w:ilvl w:val="0"/>
          <w:numId w:val="13"/>
        </w:numPr>
        <w:shd w:val="clear" w:color="auto" w:fill="FFFFFF"/>
        <w:spacing w:before="120" w:after="100" w:afterAutospacing="1"/>
        <w:rPr>
          <w:rFonts w:ascii="Verdana" w:hAnsi="Verdana" w:cs="Times New Roman"/>
          <w:color w:val="000000"/>
        </w:rPr>
      </w:pPr>
      <w:r w:rsidRPr="001E0CC4">
        <w:rPr>
          <w:rFonts w:ascii="Verdana" w:hAnsi="Verdana" w:cs="Times New Roman"/>
          <w:color w:val="000000"/>
        </w:rPr>
        <w:t>the extent of the impact on economic and societal activities; and</w:t>
      </w:r>
    </w:p>
    <w:p w14:paraId="5C2AEEFB" w14:textId="77777777" w:rsidR="001E0CC4" w:rsidRPr="001E0CC4" w:rsidRDefault="001E0CC4" w:rsidP="001E0CC4">
      <w:pPr>
        <w:numPr>
          <w:ilvl w:val="0"/>
          <w:numId w:val="13"/>
        </w:numPr>
        <w:shd w:val="clear" w:color="auto" w:fill="FFFFFF"/>
        <w:spacing w:before="120" w:after="100" w:afterAutospacing="1"/>
        <w:rPr>
          <w:rFonts w:ascii="Verdana" w:hAnsi="Verdana" w:cs="Times New Roman"/>
          <w:color w:val="000000"/>
        </w:rPr>
      </w:pPr>
      <w:proofErr w:type="gramStart"/>
      <w:r w:rsidRPr="001E0CC4">
        <w:rPr>
          <w:rFonts w:ascii="Verdana" w:hAnsi="Verdana" w:cs="Times New Roman"/>
          <w:color w:val="000000"/>
        </w:rPr>
        <w:t>whether</w:t>
      </w:r>
      <w:proofErr w:type="gramEnd"/>
      <w:r w:rsidRPr="001E0CC4">
        <w:rPr>
          <w:rFonts w:ascii="Verdana" w:hAnsi="Verdana" w:cs="Times New Roman"/>
          <w:color w:val="000000"/>
        </w:rPr>
        <w:t xml:space="preserve"> one of the </w:t>
      </w:r>
      <w:r w:rsidRPr="001E0CC4">
        <w:rPr>
          <w:rFonts w:ascii="Verdana" w:hAnsi="Verdana" w:cs="Times New Roman"/>
        </w:rPr>
        <w:t>thresholds specified in this guidance has</w:t>
      </w:r>
      <w:r w:rsidRPr="001E0CC4">
        <w:rPr>
          <w:rFonts w:ascii="Verdana" w:hAnsi="Verdana" w:cs="Times New Roman"/>
          <w:color w:val="000000"/>
        </w:rPr>
        <w:t xml:space="preserve"> taken place.</w:t>
      </w:r>
    </w:p>
    <w:p w14:paraId="761EF39D" w14:textId="77777777" w:rsidR="001E0CC4" w:rsidRPr="001E0CC4" w:rsidRDefault="001E0CC4" w:rsidP="001E0CC4">
      <w:pPr>
        <w:pStyle w:val="Subtitle"/>
        <w:rPr>
          <w:rFonts w:cs="Times New Roman"/>
          <w:color w:val="2F5496" w:themeColor="accent1" w:themeShade="BF"/>
        </w:rPr>
      </w:pPr>
      <w:r w:rsidRPr="001E0CC4">
        <w:rPr>
          <w:color w:val="2F5496" w:themeColor="accent1" w:themeShade="BF"/>
        </w:rPr>
        <w:t>What does the ‘number of users affected’ mean?</w:t>
      </w:r>
    </w:p>
    <w:p w14:paraId="1C74C579" w14:textId="77777777" w:rsidR="001E0CC4" w:rsidRPr="001E0CC4" w:rsidRDefault="001E0CC4" w:rsidP="001E0CC4">
      <w:pPr>
        <w:rPr>
          <w:rFonts w:ascii="Verdana" w:hAnsi="Verdana"/>
        </w:rPr>
      </w:pPr>
      <w:r w:rsidRPr="001E0CC4">
        <w:rPr>
          <w:rFonts w:ascii="Verdana" w:hAnsi="Verdana"/>
        </w:rPr>
        <w:t>Article 3(1) of the DSP Regulation requires you to be in a position to estimate:</w:t>
      </w:r>
    </w:p>
    <w:p w14:paraId="46C87B1D" w14:textId="77777777" w:rsidR="001E0CC4" w:rsidRPr="001E0CC4" w:rsidRDefault="001E0CC4" w:rsidP="001E0CC4">
      <w:pPr>
        <w:numPr>
          <w:ilvl w:val="0"/>
          <w:numId w:val="13"/>
        </w:numPr>
        <w:shd w:val="clear" w:color="auto" w:fill="FFFFFF"/>
        <w:spacing w:before="120" w:beforeAutospacing="1" w:after="100" w:afterAutospacing="1"/>
        <w:rPr>
          <w:rFonts w:ascii="Verdana" w:hAnsi="Verdana" w:cs="Times New Roman"/>
          <w:color w:val="000000"/>
        </w:rPr>
      </w:pPr>
      <w:r w:rsidRPr="001E0CC4">
        <w:rPr>
          <w:rFonts w:ascii="Verdana" w:hAnsi="Verdana" w:cs="Times New Roman"/>
          <w:color w:val="000000"/>
        </w:rPr>
        <w:t>the number of affected persons you have a contract with (this includes both individuals and organisations); or</w:t>
      </w:r>
    </w:p>
    <w:p w14:paraId="1427DE4E" w14:textId="77777777" w:rsidR="001E0CC4" w:rsidRPr="001E0CC4" w:rsidRDefault="001E0CC4" w:rsidP="001E0CC4">
      <w:pPr>
        <w:numPr>
          <w:ilvl w:val="0"/>
          <w:numId w:val="13"/>
        </w:numPr>
        <w:shd w:val="clear" w:color="auto" w:fill="FFFFFF"/>
        <w:spacing w:before="120" w:after="100" w:afterAutospacing="1"/>
        <w:rPr>
          <w:rFonts w:ascii="Verdana" w:hAnsi="Verdana" w:cs="Times New Roman"/>
          <w:color w:val="000000"/>
        </w:rPr>
      </w:pPr>
      <w:proofErr w:type="gramStart"/>
      <w:r w:rsidRPr="001E0CC4">
        <w:rPr>
          <w:rFonts w:ascii="Verdana" w:hAnsi="Verdana" w:cs="Times New Roman"/>
          <w:color w:val="000000"/>
        </w:rPr>
        <w:t>the</w:t>
      </w:r>
      <w:proofErr w:type="gramEnd"/>
      <w:r w:rsidRPr="001E0CC4">
        <w:rPr>
          <w:rFonts w:ascii="Verdana" w:hAnsi="Verdana" w:cs="Times New Roman"/>
          <w:color w:val="000000"/>
        </w:rPr>
        <w:t xml:space="preserve"> number of affected users determined by reference to previous traffic data.</w:t>
      </w:r>
    </w:p>
    <w:p w14:paraId="588816D9" w14:textId="7616EE6C" w:rsidR="001E0CC4" w:rsidRPr="001E0CC4" w:rsidRDefault="001E0CC4" w:rsidP="001E0CC4">
      <w:pPr>
        <w:shd w:val="clear" w:color="auto" w:fill="FFFFFF"/>
        <w:spacing w:before="120" w:after="100" w:afterAutospacing="1"/>
        <w:rPr>
          <w:rFonts w:ascii="Verdana" w:hAnsi="Verdana" w:cs="Times New Roman"/>
        </w:rPr>
      </w:pPr>
      <w:r w:rsidRPr="001E0CC4">
        <w:rPr>
          <w:rFonts w:ascii="Verdana" w:hAnsi="Verdana" w:cs="Times New Roman"/>
        </w:rPr>
        <w:t>A “user” in the context of NIS may comprise a person, organisation or other entity that uses the service(s) you provide. In some cases</w:t>
      </w:r>
      <w:r w:rsidR="00E606F5">
        <w:rPr>
          <w:rFonts w:ascii="Verdana" w:hAnsi="Verdana" w:cs="Times New Roman"/>
        </w:rPr>
        <w:t>,</w:t>
      </w:r>
      <w:r w:rsidRPr="001E0CC4">
        <w:rPr>
          <w:rFonts w:ascii="Verdana" w:hAnsi="Verdana" w:cs="Times New Roman"/>
        </w:rPr>
        <w:t xml:space="preserve"> you may not have visibility of every single user and Regulation 12(4) only requires you to notify where you have access to the information that allows you to assess the impact of an incident.</w:t>
      </w:r>
      <w:r w:rsidRPr="001E0CC4">
        <w:rPr>
          <w:rFonts w:ascii="Verdana" w:eastAsiaTheme="minorEastAsia" w:hAnsi="Verdana" w:cstheme="minorBidi"/>
          <w:sz w:val="32"/>
        </w:rPr>
        <w:t xml:space="preserve"> </w:t>
      </w:r>
      <w:r w:rsidRPr="001E0CC4">
        <w:rPr>
          <w:rFonts w:ascii="Verdana" w:hAnsi="Verdana" w:cs="Times New Roman"/>
        </w:rPr>
        <w:t>The key is the extent to which you are aware of the type and number of users at a particular point in time.</w:t>
      </w:r>
    </w:p>
    <w:p w14:paraId="77E16BBB" w14:textId="616E8F7A" w:rsidR="001E0CC4" w:rsidRPr="001E0CC4" w:rsidRDefault="001E0CC4" w:rsidP="001E0CC4">
      <w:pPr>
        <w:pStyle w:val="Subtitle"/>
        <w:rPr>
          <w:color w:val="2F5496" w:themeColor="accent1" w:themeShade="BF"/>
        </w:rPr>
      </w:pPr>
      <w:r w:rsidRPr="001E0CC4">
        <w:rPr>
          <w:color w:val="2F5496" w:themeColor="accent1" w:themeShade="BF"/>
        </w:rPr>
        <w:t>What does the ‘duration of the incident’ mean?</w:t>
      </w:r>
    </w:p>
    <w:p w14:paraId="1DEECA2A" w14:textId="77777777" w:rsidR="001E0CC4" w:rsidRPr="001E0CC4" w:rsidRDefault="001E0CC4" w:rsidP="001E0CC4">
      <w:pPr>
        <w:rPr>
          <w:rFonts w:ascii="Verdana" w:hAnsi="Verdana"/>
        </w:rPr>
      </w:pPr>
      <w:proofErr w:type="gramStart"/>
      <w:r w:rsidRPr="001E0CC4">
        <w:rPr>
          <w:rFonts w:ascii="Verdana" w:hAnsi="Verdana"/>
        </w:rPr>
        <w:t>Article 3(2) of the DSP Regulation states that this refers to the period of time from the disruption of the service until its recovery.</w:t>
      </w:r>
      <w:proofErr w:type="gramEnd"/>
    </w:p>
    <w:p w14:paraId="6CCE7004" w14:textId="77777777" w:rsidR="001E0CC4" w:rsidRPr="001E0CC4" w:rsidRDefault="001E0CC4" w:rsidP="001E0CC4">
      <w:pPr>
        <w:rPr>
          <w:rFonts w:ascii="Verdana" w:hAnsi="Verdana"/>
        </w:rPr>
      </w:pPr>
      <w:r w:rsidRPr="001E0CC4">
        <w:rPr>
          <w:rFonts w:ascii="Verdana" w:hAnsi="Verdana"/>
        </w:rPr>
        <w:t>You must assess the disruption on the basis of availability, authenticity, integrity and confidentiality of the digital data you process.</w:t>
      </w:r>
    </w:p>
    <w:p w14:paraId="46AC4396" w14:textId="77777777" w:rsidR="001E0CC4" w:rsidRPr="001E0CC4" w:rsidRDefault="001E0CC4" w:rsidP="001E0CC4">
      <w:pPr>
        <w:pStyle w:val="Subtitle"/>
        <w:rPr>
          <w:color w:val="2F5496" w:themeColor="accent1" w:themeShade="BF"/>
        </w:rPr>
      </w:pPr>
      <w:r w:rsidRPr="001E0CC4">
        <w:rPr>
          <w:color w:val="2F5496" w:themeColor="accent1" w:themeShade="BF"/>
        </w:rPr>
        <w:t>What does the ‘geographical spread with regard to the area affected’ mean?</w:t>
      </w:r>
    </w:p>
    <w:p w14:paraId="59A9AE54" w14:textId="4A6C91EC" w:rsidR="001E0CC4" w:rsidRDefault="001E0CC4" w:rsidP="001E0CC4">
      <w:pPr>
        <w:rPr>
          <w:rFonts w:ascii="Verdana" w:hAnsi="Verdana"/>
        </w:rPr>
      </w:pPr>
      <w:r w:rsidRPr="001E0CC4">
        <w:rPr>
          <w:rFonts w:ascii="Verdana" w:hAnsi="Verdana"/>
        </w:rPr>
        <w:t>Article 3(3) of the DSP Regulation clarifies that this refers to your ability to identify whether the NIS incident affects the provision of your services in other countries – in other words, you need to determine if the incident has cross-border impact.</w:t>
      </w:r>
    </w:p>
    <w:p w14:paraId="4226EF5D" w14:textId="77777777" w:rsidR="00122B3B" w:rsidRPr="001E0CC4" w:rsidRDefault="00122B3B" w:rsidP="001E0CC4">
      <w:pPr>
        <w:rPr>
          <w:rFonts w:ascii="Verdana" w:hAnsi="Verdana"/>
        </w:rPr>
      </w:pPr>
    </w:p>
    <w:p w14:paraId="5D91A860" w14:textId="77777777" w:rsidR="001E0CC4" w:rsidRPr="001E0CC4" w:rsidRDefault="001E0CC4" w:rsidP="001E0CC4">
      <w:pPr>
        <w:rPr>
          <w:rFonts w:ascii="Verdana" w:hAnsi="Verdana"/>
        </w:rPr>
      </w:pPr>
      <w:r w:rsidRPr="001E0CC4">
        <w:rPr>
          <w:rFonts w:ascii="Verdana" w:hAnsi="Verdana"/>
        </w:rPr>
        <w:t>You are required to provide the ICO with sufficient information for us to assess the significance of any cross-border impact.</w:t>
      </w:r>
    </w:p>
    <w:p w14:paraId="7C8EE87A" w14:textId="77777777" w:rsidR="00A01462" w:rsidRDefault="00A01462">
      <w:pPr>
        <w:spacing w:after="160" w:line="259" w:lineRule="auto"/>
        <w:rPr>
          <w:rFonts w:ascii="Georgia" w:eastAsiaTheme="minorEastAsia" w:hAnsi="Georgia" w:cstheme="minorBidi"/>
          <w:color w:val="2F5496" w:themeColor="accent1" w:themeShade="BF"/>
          <w:sz w:val="32"/>
          <w:szCs w:val="22"/>
          <w:lang w:eastAsia="en-US"/>
        </w:rPr>
      </w:pPr>
      <w:r>
        <w:rPr>
          <w:color w:val="2F5496" w:themeColor="accent1" w:themeShade="BF"/>
        </w:rPr>
        <w:br w:type="page"/>
      </w:r>
    </w:p>
    <w:p w14:paraId="37F55F3D" w14:textId="1C762C51" w:rsidR="001E0CC4" w:rsidRPr="001E0CC4" w:rsidRDefault="001E0CC4" w:rsidP="001E0CC4">
      <w:pPr>
        <w:pStyle w:val="Subtitle"/>
        <w:rPr>
          <w:color w:val="2F5496" w:themeColor="accent1" w:themeShade="BF"/>
        </w:rPr>
      </w:pPr>
      <w:r w:rsidRPr="001E0CC4">
        <w:rPr>
          <w:color w:val="2F5496" w:themeColor="accent1" w:themeShade="BF"/>
        </w:rPr>
        <w:lastRenderedPageBreak/>
        <w:t>What does the ‘extent of the disruption’ mean?</w:t>
      </w:r>
    </w:p>
    <w:p w14:paraId="5B53845F" w14:textId="13FFABC5" w:rsidR="001E0CC4" w:rsidRDefault="001E0CC4" w:rsidP="001E0CC4">
      <w:pPr>
        <w:rPr>
          <w:rFonts w:ascii="Verdana" w:hAnsi="Verdana"/>
        </w:rPr>
      </w:pPr>
      <w:r w:rsidRPr="001E0CC4">
        <w:rPr>
          <w:rFonts w:ascii="Verdana" w:hAnsi="Verdana"/>
        </w:rPr>
        <w:t>Article 3(4) of the DSP Regulation requires you to be able to measure whether the NIS incident has impaired one or more of the following:</w:t>
      </w:r>
    </w:p>
    <w:p w14:paraId="526D6946" w14:textId="77777777" w:rsidR="00122B3B" w:rsidRPr="001E0CC4" w:rsidRDefault="00122B3B" w:rsidP="001E0CC4">
      <w:pPr>
        <w:rPr>
          <w:rFonts w:ascii="Verdana" w:hAnsi="Verdana"/>
        </w:rPr>
      </w:pPr>
    </w:p>
    <w:p w14:paraId="2E0A08DB" w14:textId="77777777" w:rsidR="001E0CC4" w:rsidRPr="001E0CC4" w:rsidRDefault="001E0CC4" w:rsidP="001E0CC4">
      <w:pPr>
        <w:numPr>
          <w:ilvl w:val="0"/>
          <w:numId w:val="13"/>
        </w:numPr>
        <w:shd w:val="clear" w:color="auto" w:fill="FFFFFF"/>
        <w:spacing w:after="120"/>
        <w:ind w:left="714" w:hanging="357"/>
        <w:rPr>
          <w:rFonts w:ascii="Verdana" w:hAnsi="Verdana" w:cs="Times New Roman"/>
          <w:color w:val="000000"/>
        </w:rPr>
      </w:pPr>
      <w:r w:rsidRPr="001E0CC4">
        <w:rPr>
          <w:rFonts w:ascii="Verdana" w:hAnsi="Verdana" w:cs="Times New Roman"/>
          <w:color w:val="000000"/>
        </w:rPr>
        <w:t>the availability of data or related services;</w:t>
      </w:r>
    </w:p>
    <w:p w14:paraId="520272F4" w14:textId="77777777" w:rsidR="001E0CC4" w:rsidRPr="001E0CC4" w:rsidRDefault="001E0CC4" w:rsidP="001E0CC4">
      <w:pPr>
        <w:numPr>
          <w:ilvl w:val="0"/>
          <w:numId w:val="13"/>
        </w:numPr>
        <w:shd w:val="clear" w:color="auto" w:fill="FFFFFF"/>
        <w:spacing w:after="120"/>
        <w:ind w:left="714" w:hanging="357"/>
        <w:rPr>
          <w:rFonts w:ascii="Verdana" w:hAnsi="Verdana" w:cs="Times New Roman"/>
          <w:color w:val="000000"/>
        </w:rPr>
      </w:pPr>
      <w:r w:rsidRPr="001E0CC4">
        <w:rPr>
          <w:rFonts w:ascii="Verdana" w:hAnsi="Verdana" w:cs="Times New Roman"/>
          <w:color w:val="000000"/>
        </w:rPr>
        <w:t>the authenticity of data or related services;</w:t>
      </w:r>
    </w:p>
    <w:p w14:paraId="4300D9BA" w14:textId="77777777" w:rsidR="001E0CC4" w:rsidRPr="001E0CC4" w:rsidRDefault="001E0CC4" w:rsidP="001E0CC4">
      <w:pPr>
        <w:numPr>
          <w:ilvl w:val="0"/>
          <w:numId w:val="13"/>
        </w:numPr>
        <w:shd w:val="clear" w:color="auto" w:fill="FFFFFF"/>
        <w:spacing w:after="120"/>
        <w:ind w:left="714" w:hanging="357"/>
        <w:rPr>
          <w:rFonts w:ascii="Verdana" w:hAnsi="Verdana" w:cs="Times New Roman"/>
          <w:color w:val="000000"/>
        </w:rPr>
      </w:pPr>
      <w:r w:rsidRPr="001E0CC4">
        <w:rPr>
          <w:rFonts w:ascii="Verdana" w:hAnsi="Verdana" w:cs="Times New Roman"/>
          <w:color w:val="000000"/>
        </w:rPr>
        <w:t>the integrity of data or related services; and</w:t>
      </w:r>
    </w:p>
    <w:p w14:paraId="12AD7B4E" w14:textId="77777777" w:rsidR="001E0CC4" w:rsidRPr="001E0CC4" w:rsidRDefault="001E0CC4" w:rsidP="001E0CC4">
      <w:pPr>
        <w:numPr>
          <w:ilvl w:val="0"/>
          <w:numId w:val="13"/>
        </w:numPr>
        <w:shd w:val="clear" w:color="auto" w:fill="FFFFFF"/>
        <w:spacing w:after="240"/>
        <w:ind w:left="714" w:hanging="357"/>
        <w:rPr>
          <w:rFonts w:ascii="Verdana" w:hAnsi="Verdana"/>
          <w:color w:val="000000"/>
          <w:sz w:val="23"/>
          <w:szCs w:val="23"/>
        </w:rPr>
      </w:pPr>
      <w:proofErr w:type="gramStart"/>
      <w:r w:rsidRPr="001E0CC4">
        <w:rPr>
          <w:rFonts w:ascii="Verdana" w:hAnsi="Verdana"/>
          <w:color w:val="000000"/>
          <w:sz w:val="23"/>
          <w:szCs w:val="23"/>
        </w:rPr>
        <w:t>the</w:t>
      </w:r>
      <w:proofErr w:type="gramEnd"/>
      <w:r w:rsidRPr="001E0CC4">
        <w:rPr>
          <w:rFonts w:ascii="Verdana" w:hAnsi="Verdana"/>
          <w:color w:val="000000"/>
          <w:sz w:val="23"/>
          <w:szCs w:val="23"/>
        </w:rPr>
        <w:t xml:space="preserve"> </w:t>
      </w:r>
      <w:r w:rsidRPr="001E0CC4">
        <w:rPr>
          <w:rFonts w:ascii="Verdana" w:hAnsi="Verdana" w:cs="Times New Roman"/>
          <w:color w:val="000000"/>
        </w:rPr>
        <w:t>confidentiality</w:t>
      </w:r>
      <w:r w:rsidRPr="001E0CC4">
        <w:rPr>
          <w:rFonts w:ascii="Verdana" w:hAnsi="Verdana"/>
          <w:color w:val="000000"/>
          <w:sz w:val="23"/>
          <w:szCs w:val="23"/>
        </w:rPr>
        <w:t xml:space="preserve"> of data or related services.</w:t>
      </w:r>
    </w:p>
    <w:p w14:paraId="246024CC" w14:textId="77777777" w:rsidR="001E0CC4" w:rsidRPr="001E0CC4" w:rsidRDefault="001E0CC4" w:rsidP="001E0CC4">
      <w:pPr>
        <w:pStyle w:val="Subtitle"/>
        <w:rPr>
          <w:color w:val="2F5496" w:themeColor="accent1" w:themeShade="BF"/>
        </w:rPr>
      </w:pPr>
      <w:r w:rsidRPr="001E0CC4">
        <w:rPr>
          <w:color w:val="2F5496" w:themeColor="accent1" w:themeShade="BF"/>
        </w:rPr>
        <w:t>What does the ‘extent of the impact’ mean?</w:t>
      </w:r>
    </w:p>
    <w:p w14:paraId="17706833" w14:textId="67680752" w:rsidR="001E0CC4" w:rsidRPr="001E0CC4" w:rsidRDefault="001E0CC4" w:rsidP="001E0CC4">
      <w:pPr>
        <w:rPr>
          <w:rFonts w:ascii="Verdana" w:hAnsi="Verdana"/>
        </w:rPr>
      </w:pPr>
      <w:r w:rsidRPr="001E0CC4">
        <w:rPr>
          <w:rFonts w:ascii="Verdana" w:hAnsi="Verdana"/>
        </w:rPr>
        <w:t>Article 3(5) of the DSP Regulation requires you to be able to conclude whether the incident has:</w:t>
      </w:r>
    </w:p>
    <w:p w14:paraId="1CEDB586" w14:textId="77777777" w:rsidR="001E0CC4" w:rsidRPr="001E0CC4" w:rsidRDefault="001E0CC4" w:rsidP="001E0CC4">
      <w:pPr>
        <w:rPr>
          <w:rFonts w:ascii="Verdana" w:hAnsi="Verdana"/>
        </w:rPr>
      </w:pPr>
    </w:p>
    <w:p w14:paraId="4E5A27F2" w14:textId="77777777" w:rsidR="001E0CC4" w:rsidRPr="001E0CC4" w:rsidRDefault="001E0CC4" w:rsidP="001E0CC4">
      <w:pPr>
        <w:pStyle w:val="NormalWeb"/>
        <w:pBdr>
          <w:top w:val="single" w:sz="4" w:space="1" w:color="auto"/>
          <w:left w:val="single" w:sz="4" w:space="4" w:color="auto"/>
          <w:bottom w:val="single" w:sz="4" w:space="1" w:color="auto"/>
          <w:right w:val="single" w:sz="4" w:space="4" w:color="auto"/>
        </w:pBdr>
        <w:shd w:val="clear" w:color="auto" w:fill="F7F3F0"/>
        <w:spacing w:before="0" w:beforeAutospacing="0" w:after="240" w:afterAutospacing="0"/>
        <w:rPr>
          <w:rFonts w:ascii="Verdana" w:hAnsi="Verdana"/>
          <w:color w:val="000000"/>
        </w:rPr>
      </w:pPr>
      <w:r w:rsidRPr="001E0CC4">
        <w:rPr>
          <w:rFonts w:ascii="Verdana" w:hAnsi="Verdana"/>
          <w:color w:val="000000"/>
        </w:rPr>
        <w:t>‘</w:t>
      </w:r>
      <w:proofErr w:type="gramStart"/>
      <w:r w:rsidRPr="001E0CC4">
        <w:rPr>
          <w:rFonts w:ascii="Verdana" w:hAnsi="Verdana"/>
          <w:color w:val="000000"/>
        </w:rPr>
        <w:t>caused</w:t>
      </w:r>
      <w:proofErr w:type="gramEnd"/>
      <w:r w:rsidRPr="001E0CC4">
        <w:rPr>
          <w:rFonts w:ascii="Verdana" w:hAnsi="Verdana"/>
          <w:color w:val="000000"/>
        </w:rPr>
        <w:t xml:space="preserve"> significant material or non-material losses for the users in relation to health, safety, or damage to property.’</w:t>
      </w:r>
    </w:p>
    <w:p w14:paraId="73BB4A53" w14:textId="2FBB8895" w:rsidR="001E0CC4" w:rsidRDefault="001E0CC4" w:rsidP="001E0CC4">
      <w:pPr>
        <w:rPr>
          <w:rFonts w:ascii="Verdana" w:hAnsi="Verdana"/>
        </w:rPr>
      </w:pPr>
      <w:r w:rsidRPr="001E0CC4">
        <w:rPr>
          <w:rFonts w:ascii="Verdana" w:hAnsi="Verdana"/>
        </w:rPr>
        <w:t>You should reach this conclusion by indications such as the nature of your contractual relations with your customers (ie the type of customer your digital service serves) and, where appropriate, the potential number of affected users.</w:t>
      </w:r>
    </w:p>
    <w:p w14:paraId="48738D47" w14:textId="77777777" w:rsidR="00122B3B" w:rsidRPr="001E0CC4" w:rsidRDefault="00122B3B" w:rsidP="001E0CC4">
      <w:pPr>
        <w:rPr>
          <w:rFonts w:ascii="Verdana" w:hAnsi="Verdana"/>
        </w:rPr>
      </w:pPr>
    </w:p>
    <w:p w14:paraId="731F4311" w14:textId="66599C43" w:rsidR="001E0CC4" w:rsidRPr="001E0CC4" w:rsidRDefault="001E0CC4" w:rsidP="001E0CC4">
      <w:pPr>
        <w:rPr>
          <w:rFonts w:ascii="Verdana" w:hAnsi="Verdana"/>
        </w:rPr>
      </w:pPr>
      <w:r w:rsidRPr="001E0CC4">
        <w:rPr>
          <w:rFonts w:ascii="Verdana" w:hAnsi="Verdana"/>
        </w:rPr>
        <w:t>Importantly, under Article 3(6) of the DSP Regulation, for the purposes of the above, DSPs:</w:t>
      </w:r>
    </w:p>
    <w:p w14:paraId="16CC943A" w14:textId="77777777" w:rsidR="001E0CC4" w:rsidRPr="001E0CC4" w:rsidRDefault="001E0CC4" w:rsidP="001E0CC4">
      <w:pPr>
        <w:rPr>
          <w:rFonts w:ascii="Verdana" w:hAnsi="Verdana"/>
        </w:rPr>
      </w:pPr>
    </w:p>
    <w:p w14:paraId="266534D9" w14:textId="5346771B" w:rsidR="00122B3B" w:rsidRPr="00393252" w:rsidRDefault="001E0CC4" w:rsidP="00393252">
      <w:pPr>
        <w:pStyle w:val="NormalWeb"/>
        <w:pBdr>
          <w:top w:val="single" w:sz="4" w:space="1" w:color="auto"/>
          <w:left w:val="single" w:sz="4" w:space="4" w:color="auto"/>
          <w:bottom w:val="single" w:sz="4" w:space="1" w:color="auto"/>
          <w:right w:val="single" w:sz="4" w:space="4" w:color="auto"/>
        </w:pBdr>
        <w:shd w:val="clear" w:color="auto" w:fill="F7F3F0"/>
        <w:spacing w:before="0" w:beforeAutospacing="0" w:after="240" w:afterAutospacing="0"/>
        <w:rPr>
          <w:rFonts w:ascii="Verdana" w:hAnsi="Verdana"/>
          <w:color w:val="000000"/>
        </w:rPr>
      </w:pPr>
      <w:r w:rsidRPr="001E0CC4">
        <w:rPr>
          <w:rFonts w:ascii="Verdana" w:hAnsi="Verdana"/>
          <w:color w:val="000000"/>
        </w:rPr>
        <w:t>‘</w:t>
      </w:r>
      <w:proofErr w:type="gramStart"/>
      <w:r w:rsidRPr="001E0CC4">
        <w:rPr>
          <w:rFonts w:ascii="Verdana" w:hAnsi="Verdana"/>
          <w:color w:val="000000"/>
        </w:rPr>
        <w:t>shall</w:t>
      </w:r>
      <w:proofErr w:type="gramEnd"/>
      <w:r w:rsidRPr="001E0CC4">
        <w:rPr>
          <w:rFonts w:ascii="Verdana" w:hAnsi="Verdana"/>
          <w:color w:val="000000"/>
        </w:rPr>
        <w:t xml:space="preserve"> not be required to collect additional information to which they do not have access’</w:t>
      </w:r>
    </w:p>
    <w:p w14:paraId="3204E393" w14:textId="2798A7AC" w:rsidR="001E0CC4" w:rsidRPr="001E0CC4" w:rsidRDefault="001E0CC4" w:rsidP="001E0CC4">
      <w:pPr>
        <w:pStyle w:val="Subtitle"/>
        <w:rPr>
          <w:color w:val="2F5496" w:themeColor="accent1" w:themeShade="BF"/>
        </w:rPr>
      </w:pPr>
      <w:r w:rsidRPr="001E0CC4">
        <w:rPr>
          <w:color w:val="2F5496" w:themeColor="accent1" w:themeShade="BF"/>
        </w:rPr>
        <w:t>What other thresholds apply?</w:t>
      </w:r>
    </w:p>
    <w:p w14:paraId="009B4FC7" w14:textId="37A39224" w:rsidR="001E0CC4" w:rsidRDefault="001E0CC4" w:rsidP="001E0CC4">
      <w:pPr>
        <w:rPr>
          <w:rFonts w:ascii="Verdana" w:hAnsi="Verdana"/>
        </w:rPr>
      </w:pPr>
      <w:r w:rsidRPr="001E0CC4">
        <w:rPr>
          <w:rFonts w:ascii="Verdana" w:hAnsi="Verdana"/>
        </w:rPr>
        <w:t xml:space="preserve">When assessing the above, you need to take into account whether one of the following situations has occurred. If any one of these thresholds is met, </w:t>
      </w:r>
      <w:proofErr w:type="gramStart"/>
      <w:r w:rsidRPr="001E0CC4">
        <w:rPr>
          <w:rFonts w:ascii="Verdana" w:hAnsi="Verdana"/>
        </w:rPr>
        <w:t>the you</w:t>
      </w:r>
      <w:proofErr w:type="gramEnd"/>
      <w:r w:rsidRPr="001E0CC4">
        <w:rPr>
          <w:rFonts w:ascii="Verdana" w:hAnsi="Verdana"/>
        </w:rPr>
        <w:t xml:space="preserve"> should regard the incident as ‘substantial’:</w:t>
      </w:r>
    </w:p>
    <w:p w14:paraId="192A4626" w14:textId="77777777" w:rsidR="001E0CC4" w:rsidRPr="001E0CC4" w:rsidRDefault="001E0CC4" w:rsidP="001E0CC4">
      <w:pPr>
        <w:rPr>
          <w:rFonts w:ascii="Verdana" w:hAnsi="Verdana"/>
        </w:rPr>
      </w:pPr>
    </w:p>
    <w:p w14:paraId="615042CF" w14:textId="77777777" w:rsidR="001E0CC4" w:rsidRPr="001E0CC4" w:rsidRDefault="001E0CC4" w:rsidP="001E0CC4">
      <w:pPr>
        <w:pStyle w:val="ListParagraph"/>
        <w:numPr>
          <w:ilvl w:val="0"/>
          <w:numId w:val="12"/>
        </w:numPr>
        <w:spacing w:after="120"/>
        <w:ind w:left="714" w:hanging="357"/>
        <w:contextualSpacing w:val="0"/>
        <w:rPr>
          <w:rFonts w:ascii="Verdana" w:hAnsi="Verdana"/>
        </w:rPr>
      </w:pPr>
      <w:proofErr w:type="gramStart"/>
      <w:r w:rsidRPr="001E0CC4">
        <w:rPr>
          <w:rFonts w:ascii="Verdana" w:hAnsi="Verdana"/>
        </w:rPr>
        <w:t>the</w:t>
      </w:r>
      <w:proofErr w:type="gramEnd"/>
      <w:r w:rsidRPr="001E0CC4">
        <w:rPr>
          <w:rFonts w:ascii="Verdana" w:hAnsi="Verdana"/>
        </w:rPr>
        <w:t xml:space="preserve"> service was unavailable for more than 750,000 user hours. User-hour refers to the number of affected users in the UK for a duration of 60 minutes; </w:t>
      </w:r>
    </w:p>
    <w:p w14:paraId="5F1FDDE8" w14:textId="77777777" w:rsidR="001E0CC4" w:rsidRPr="001E0CC4" w:rsidRDefault="001E0CC4" w:rsidP="001E0CC4">
      <w:pPr>
        <w:pStyle w:val="ListParagraph"/>
        <w:numPr>
          <w:ilvl w:val="0"/>
          <w:numId w:val="12"/>
        </w:numPr>
        <w:spacing w:after="120"/>
        <w:ind w:left="714" w:hanging="357"/>
        <w:contextualSpacing w:val="0"/>
        <w:rPr>
          <w:rFonts w:ascii="Verdana" w:hAnsi="Verdana"/>
        </w:rPr>
      </w:pPr>
      <w:r w:rsidRPr="001E0CC4">
        <w:rPr>
          <w:rFonts w:ascii="Verdana" w:hAnsi="Verdana"/>
        </w:rPr>
        <w:t>the incident resulted in a loss of confidentiality, integrity and authenticity for data or related services where this affects more than 15,500 users in the UK;</w:t>
      </w:r>
    </w:p>
    <w:p w14:paraId="6491095C" w14:textId="77777777" w:rsidR="001E0CC4" w:rsidRPr="001E0CC4" w:rsidRDefault="001E0CC4" w:rsidP="001E0CC4">
      <w:pPr>
        <w:pStyle w:val="ListParagraph"/>
        <w:numPr>
          <w:ilvl w:val="0"/>
          <w:numId w:val="12"/>
        </w:numPr>
        <w:spacing w:after="120"/>
        <w:ind w:left="714" w:hanging="357"/>
        <w:contextualSpacing w:val="0"/>
        <w:rPr>
          <w:rFonts w:ascii="Verdana" w:hAnsi="Verdana"/>
        </w:rPr>
      </w:pPr>
      <w:r w:rsidRPr="001E0CC4">
        <w:rPr>
          <w:rFonts w:ascii="Verdana" w:hAnsi="Verdana"/>
        </w:rPr>
        <w:lastRenderedPageBreak/>
        <w:t>the incident created a risk to public safety, security or of loss of life; or</w:t>
      </w:r>
    </w:p>
    <w:p w14:paraId="2B2106D5" w14:textId="77777777" w:rsidR="001E0CC4" w:rsidRPr="001E0CC4" w:rsidRDefault="001E0CC4" w:rsidP="001E0CC4">
      <w:pPr>
        <w:pStyle w:val="ListParagraph"/>
        <w:numPr>
          <w:ilvl w:val="0"/>
          <w:numId w:val="12"/>
        </w:numPr>
        <w:spacing w:after="240"/>
        <w:rPr>
          <w:rFonts w:ascii="Verdana" w:hAnsi="Verdana"/>
        </w:rPr>
      </w:pPr>
      <w:proofErr w:type="gramStart"/>
      <w:r w:rsidRPr="001E0CC4">
        <w:rPr>
          <w:rFonts w:ascii="Verdana" w:hAnsi="Verdana"/>
        </w:rPr>
        <w:t>the</w:t>
      </w:r>
      <w:proofErr w:type="gramEnd"/>
      <w:r w:rsidRPr="001E0CC4">
        <w:rPr>
          <w:rFonts w:ascii="Verdana" w:hAnsi="Verdana"/>
        </w:rPr>
        <w:t xml:space="preserve"> incident caused material damage to at least one user in the UK £850,000.</w:t>
      </w:r>
    </w:p>
    <w:p w14:paraId="2D0FEF40" w14:textId="77777777" w:rsidR="001E0CC4" w:rsidRPr="001E0CC4" w:rsidRDefault="001E0CC4" w:rsidP="001E0CC4">
      <w:pPr>
        <w:rPr>
          <w:rFonts w:ascii="Verdana" w:hAnsi="Verdana"/>
        </w:rPr>
      </w:pPr>
      <w:r w:rsidRPr="001E0CC4">
        <w:rPr>
          <w:rFonts w:ascii="Verdana" w:hAnsi="Verdana"/>
        </w:rPr>
        <w:t>An incident is considered substantial when </w:t>
      </w:r>
      <w:r w:rsidRPr="001E0CC4">
        <w:rPr>
          <w:rFonts w:ascii="Verdana" w:hAnsi="Verdana"/>
          <w:b/>
          <w:bCs/>
        </w:rPr>
        <w:t>at least one</w:t>
      </w:r>
      <w:r w:rsidRPr="001E0CC4">
        <w:rPr>
          <w:rFonts w:ascii="Verdana" w:hAnsi="Verdana"/>
        </w:rPr>
        <w:t> of the above has taken place.</w:t>
      </w:r>
    </w:p>
    <w:p w14:paraId="37DC7BD1" w14:textId="77777777" w:rsidR="00D07AFF" w:rsidRDefault="00D07AFF" w:rsidP="001E0CC4">
      <w:pPr>
        <w:rPr>
          <w:rFonts w:ascii="Verdana" w:hAnsi="Verdana"/>
        </w:rPr>
      </w:pPr>
    </w:p>
    <w:p w14:paraId="575A23DE" w14:textId="2086DAD8" w:rsidR="001E0CC4" w:rsidRDefault="001E0CC4" w:rsidP="001E0CC4">
      <w:pPr>
        <w:rPr>
          <w:rFonts w:ascii="Verdana" w:hAnsi="Verdana"/>
        </w:rPr>
      </w:pPr>
      <w:r w:rsidRPr="001E0CC4">
        <w:rPr>
          <w:rFonts w:ascii="Verdana" w:hAnsi="Verdana"/>
        </w:rPr>
        <w:t>It is important to understand that if the NIS incident results in a personal data breach, the above factors and thresholds do not apply. Essentially, the incident may not meet any of the thresholds above, but if personal data was compromised, you need to assess whether this could result in a risk to the rights and freedoms of individuals.</w:t>
      </w:r>
    </w:p>
    <w:p w14:paraId="708642BE" w14:textId="77777777" w:rsidR="00D07AFF" w:rsidRPr="001E0CC4" w:rsidRDefault="00D07AFF" w:rsidP="001E0CC4">
      <w:pPr>
        <w:rPr>
          <w:rFonts w:ascii="Verdana" w:hAnsi="Verdana"/>
        </w:rPr>
      </w:pPr>
    </w:p>
    <w:p w14:paraId="381EEFA3" w14:textId="77777777" w:rsidR="001E0CC4" w:rsidRPr="001E0CC4" w:rsidRDefault="001E0CC4" w:rsidP="001E0CC4">
      <w:pPr>
        <w:rPr>
          <w:rFonts w:ascii="Verdana" w:hAnsi="Verdana"/>
        </w:rPr>
      </w:pPr>
      <w:r w:rsidRPr="001E0CC4">
        <w:rPr>
          <w:rFonts w:ascii="Verdana" w:hAnsi="Verdana"/>
        </w:rPr>
        <w:t>If that is the case you are required to notify the ICO of a personal data breach, even if you may not have to tell us about the NIS incident.</w:t>
      </w:r>
    </w:p>
    <w:p w14:paraId="662027A6" w14:textId="77777777" w:rsidR="00620EAB" w:rsidRDefault="00620EAB" w:rsidP="002922FA">
      <w:pPr>
        <w:rPr>
          <w:rFonts w:ascii="Georgia" w:hAnsi="Georgia"/>
          <w:color w:val="2F5496" w:themeColor="accent1" w:themeShade="BF"/>
          <w:sz w:val="32"/>
          <w:szCs w:val="32"/>
        </w:rPr>
      </w:pPr>
    </w:p>
    <w:p w14:paraId="3A29317C" w14:textId="1F539FA4" w:rsidR="00D24BDD" w:rsidRDefault="002922FA" w:rsidP="002922FA">
      <w:pPr>
        <w:rPr>
          <w:rFonts w:ascii="Georgia" w:hAnsi="Georgia"/>
          <w:color w:val="2F5496" w:themeColor="accent1" w:themeShade="BF"/>
          <w:sz w:val="32"/>
          <w:szCs w:val="32"/>
        </w:rPr>
      </w:pPr>
      <w:r>
        <w:rPr>
          <w:rFonts w:ascii="Georgia" w:hAnsi="Georgia"/>
          <w:color w:val="2F5496" w:themeColor="accent1" w:themeShade="BF"/>
          <w:sz w:val="32"/>
          <w:szCs w:val="32"/>
        </w:rPr>
        <w:t xml:space="preserve">Proposal 2 – </w:t>
      </w:r>
      <w:r w:rsidR="00B91422">
        <w:rPr>
          <w:rFonts w:ascii="Georgia" w:hAnsi="Georgia"/>
          <w:color w:val="2F5496" w:themeColor="accent1" w:themeShade="BF"/>
          <w:sz w:val="32"/>
          <w:szCs w:val="32"/>
        </w:rPr>
        <w:t xml:space="preserve">Replace numerical thresholds </w:t>
      </w:r>
      <w:proofErr w:type="gramStart"/>
      <w:r w:rsidR="00B91422">
        <w:rPr>
          <w:rFonts w:ascii="Georgia" w:hAnsi="Georgia"/>
          <w:color w:val="2F5496" w:themeColor="accent1" w:themeShade="BF"/>
          <w:sz w:val="32"/>
          <w:szCs w:val="32"/>
        </w:rPr>
        <w:t xml:space="preserve">with a risk-based </w:t>
      </w:r>
      <w:r w:rsidR="00BC3C21">
        <w:rPr>
          <w:rFonts w:ascii="Georgia" w:hAnsi="Georgia"/>
          <w:color w:val="2F5496" w:themeColor="accent1" w:themeShade="BF"/>
          <w:sz w:val="32"/>
          <w:szCs w:val="32"/>
        </w:rPr>
        <w:t>indicative and relative thresholds</w:t>
      </w:r>
      <w:proofErr w:type="gramEnd"/>
      <w:r w:rsidR="00BC3C21">
        <w:rPr>
          <w:rFonts w:ascii="Georgia" w:hAnsi="Georgia"/>
          <w:color w:val="2F5496" w:themeColor="accent1" w:themeShade="BF"/>
          <w:sz w:val="32"/>
          <w:szCs w:val="32"/>
        </w:rPr>
        <w:t xml:space="preserve"> </w:t>
      </w:r>
    </w:p>
    <w:p w14:paraId="492ABD34" w14:textId="07A95D9F" w:rsidR="00BC3C21" w:rsidRDefault="00BC3C21" w:rsidP="002922FA">
      <w:pPr>
        <w:rPr>
          <w:rFonts w:ascii="Georgia" w:hAnsi="Georgia"/>
          <w:color w:val="2F5496" w:themeColor="accent1" w:themeShade="BF"/>
          <w:sz w:val="32"/>
          <w:szCs w:val="32"/>
        </w:rPr>
      </w:pPr>
    </w:p>
    <w:p w14:paraId="0C67AEC7" w14:textId="3FC0CC15" w:rsidR="000E28F8" w:rsidRDefault="00F552FE" w:rsidP="00226303">
      <w:pPr>
        <w:rPr>
          <w:rFonts w:ascii="Verdana" w:hAnsi="Verdana"/>
        </w:rPr>
      </w:pPr>
      <w:r>
        <w:rPr>
          <w:rFonts w:ascii="Verdana" w:hAnsi="Verdana"/>
        </w:rPr>
        <w:t>In developing this</w:t>
      </w:r>
      <w:r w:rsidR="00DB5EE8">
        <w:rPr>
          <w:rFonts w:ascii="Verdana" w:hAnsi="Verdana"/>
        </w:rPr>
        <w:t xml:space="preserve"> proposal</w:t>
      </w:r>
      <w:r>
        <w:rPr>
          <w:rFonts w:ascii="Verdana" w:hAnsi="Verdana"/>
        </w:rPr>
        <w:t xml:space="preserve">, </w:t>
      </w:r>
      <w:r w:rsidR="00AA715B">
        <w:rPr>
          <w:rFonts w:ascii="Verdana" w:hAnsi="Verdana"/>
        </w:rPr>
        <w:t xml:space="preserve">we have sought to identify </w:t>
      </w:r>
      <w:r w:rsidR="00F72F19">
        <w:rPr>
          <w:rFonts w:ascii="Verdana" w:hAnsi="Verdana"/>
        </w:rPr>
        <w:t xml:space="preserve">thresholds that </w:t>
      </w:r>
      <w:r w:rsidR="002D5387">
        <w:rPr>
          <w:rFonts w:ascii="Verdana" w:hAnsi="Verdana"/>
        </w:rPr>
        <w:t xml:space="preserve">have </w:t>
      </w:r>
      <w:r w:rsidR="00AF4F67">
        <w:rPr>
          <w:rFonts w:ascii="Verdana" w:hAnsi="Verdana"/>
        </w:rPr>
        <w:t xml:space="preserve">broader application to all services. </w:t>
      </w:r>
      <w:r w:rsidR="001622AE">
        <w:rPr>
          <w:rFonts w:ascii="Verdana" w:hAnsi="Verdana"/>
        </w:rPr>
        <w:t xml:space="preserve">It is recognised that numerical thresholds </w:t>
      </w:r>
      <w:r w:rsidR="009B7062">
        <w:rPr>
          <w:rFonts w:ascii="Verdana" w:hAnsi="Verdana"/>
        </w:rPr>
        <w:t>may have limited application to some digital services, dependant on the size of the service provider</w:t>
      </w:r>
      <w:r w:rsidR="00A33472">
        <w:rPr>
          <w:rFonts w:ascii="Verdana" w:hAnsi="Verdana"/>
        </w:rPr>
        <w:t xml:space="preserve"> and nature of the service</w:t>
      </w:r>
      <w:r w:rsidR="001E18DD">
        <w:rPr>
          <w:rFonts w:ascii="Verdana" w:hAnsi="Verdana"/>
        </w:rPr>
        <w:t xml:space="preserve"> being provided</w:t>
      </w:r>
      <w:r w:rsidR="00A33472">
        <w:rPr>
          <w:rFonts w:ascii="Verdana" w:hAnsi="Verdana"/>
        </w:rPr>
        <w:t xml:space="preserve">. </w:t>
      </w:r>
    </w:p>
    <w:p w14:paraId="0F79ACBB" w14:textId="39DFE6CA" w:rsidR="00E53AC4" w:rsidRDefault="00400B11" w:rsidP="00226303">
      <w:pPr>
        <w:rPr>
          <w:rFonts w:ascii="Verdana" w:hAnsi="Verdana"/>
        </w:rPr>
      </w:pPr>
      <w:r>
        <w:rPr>
          <w:rFonts w:ascii="Verdana" w:hAnsi="Verdana"/>
        </w:rPr>
        <w:t xml:space="preserve"> </w:t>
      </w:r>
    </w:p>
    <w:p w14:paraId="2792B1F3" w14:textId="626227AE" w:rsidR="00E53AC4" w:rsidRDefault="00844355" w:rsidP="00226303">
      <w:pPr>
        <w:rPr>
          <w:rFonts w:ascii="Verdana" w:hAnsi="Verdana"/>
        </w:rPr>
      </w:pPr>
      <w:r>
        <w:rPr>
          <w:rFonts w:ascii="Verdana" w:hAnsi="Verdana"/>
        </w:rPr>
        <w:t>W</w:t>
      </w:r>
      <w:r w:rsidR="00F552FE">
        <w:rPr>
          <w:rFonts w:ascii="Verdana" w:hAnsi="Verdana"/>
        </w:rPr>
        <w:t>e have</w:t>
      </w:r>
      <w:r w:rsidR="00DB5EE8">
        <w:rPr>
          <w:rFonts w:ascii="Verdana" w:hAnsi="Verdana"/>
        </w:rPr>
        <w:t xml:space="preserve"> </w:t>
      </w:r>
      <w:r w:rsidR="00F552FE">
        <w:rPr>
          <w:rFonts w:ascii="Verdana" w:hAnsi="Verdana"/>
        </w:rPr>
        <w:t>sought</w:t>
      </w:r>
      <w:r w:rsidR="007B11F6">
        <w:rPr>
          <w:rFonts w:ascii="Verdana" w:hAnsi="Verdana"/>
        </w:rPr>
        <w:t xml:space="preserve"> to take into account </w:t>
      </w:r>
      <w:r w:rsidR="00CF53D9">
        <w:rPr>
          <w:rFonts w:ascii="Verdana" w:hAnsi="Verdana"/>
        </w:rPr>
        <w:t>established international cyber security requirements and practices.</w:t>
      </w:r>
      <w:r w:rsidR="00B43A1C">
        <w:rPr>
          <w:rFonts w:ascii="Verdana" w:hAnsi="Verdana"/>
        </w:rPr>
        <w:t xml:space="preserve"> </w:t>
      </w:r>
    </w:p>
    <w:p w14:paraId="34B33994" w14:textId="77777777" w:rsidR="00E53AC4" w:rsidRDefault="00E53AC4" w:rsidP="00226303">
      <w:pPr>
        <w:rPr>
          <w:rFonts w:ascii="Verdana" w:hAnsi="Verdana"/>
        </w:rPr>
      </w:pPr>
    </w:p>
    <w:p w14:paraId="3C92DF6E" w14:textId="1579AD0D" w:rsidR="00A21185" w:rsidRDefault="00B43A1C" w:rsidP="00226303">
      <w:pPr>
        <w:rPr>
          <w:rFonts w:ascii="Verdana" w:hAnsi="Verdana"/>
        </w:rPr>
      </w:pPr>
      <w:r>
        <w:rPr>
          <w:rFonts w:ascii="Verdana" w:hAnsi="Verdana"/>
        </w:rPr>
        <w:t>The</w:t>
      </w:r>
      <w:r w:rsidR="0048232D">
        <w:rPr>
          <w:rFonts w:ascii="Verdana" w:hAnsi="Verdana"/>
        </w:rPr>
        <w:t xml:space="preserve"> proposed framework </w:t>
      </w:r>
      <w:r w:rsidR="00C2218C">
        <w:rPr>
          <w:rFonts w:ascii="Verdana" w:hAnsi="Verdana"/>
        </w:rPr>
        <w:t xml:space="preserve">would require a digital service provider to undertake an assessment of the impact of the incident </w:t>
      </w:r>
      <w:r w:rsidR="00A65271">
        <w:rPr>
          <w:rFonts w:ascii="Verdana" w:hAnsi="Verdana"/>
        </w:rPr>
        <w:t>on the function of the service,</w:t>
      </w:r>
      <w:r w:rsidR="000D6A4B">
        <w:rPr>
          <w:rFonts w:ascii="Verdana" w:hAnsi="Verdana"/>
        </w:rPr>
        <w:t xml:space="preserve"> on information and on resources required to recover from the incident</w:t>
      </w:r>
      <w:r w:rsidR="00744EFC">
        <w:rPr>
          <w:rFonts w:ascii="Verdana" w:hAnsi="Verdana"/>
        </w:rPr>
        <w:t>.</w:t>
      </w:r>
      <w:r w:rsidR="00DA2961">
        <w:rPr>
          <w:rFonts w:ascii="Verdana" w:hAnsi="Verdana"/>
        </w:rPr>
        <w:t xml:space="preserve"> </w:t>
      </w:r>
    </w:p>
    <w:p w14:paraId="675ABEB9" w14:textId="77777777" w:rsidR="00620EAB" w:rsidRDefault="00620EAB" w:rsidP="00A21185">
      <w:pPr>
        <w:jc w:val="both"/>
        <w:rPr>
          <w:rFonts w:ascii="Georgia" w:hAnsi="Georgia"/>
          <w:color w:val="2F5496" w:themeColor="accent1" w:themeShade="BF"/>
          <w:sz w:val="32"/>
          <w:szCs w:val="32"/>
        </w:rPr>
      </w:pPr>
    </w:p>
    <w:p w14:paraId="40392949" w14:textId="450B8E31" w:rsidR="00A21185" w:rsidRPr="000311ED" w:rsidRDefault="00A21185" w:rsidP="00A21185">
      <w:pPr>
        <w:jc w:val="both"/>
        <w:rPr>
          <w:rFonts w:ascii="Verdana" w:hAnsi="Verdana"/>
        </w:rPr>
      </w:pPr>
      <w:r>
        <w:rPr>
          <w:rFonts w:ascii="Georgia" w:hAnsi="Georgia"/>
          <w:color w:val="2F5496" w:themeColor="accent1" w:themeShade="BF"/>
          <w:sz w:val="32"/>
          <w:szCs w:val="32"/>
        </w:rPr>
        <w:t xml:space="preserve">Proposed text </w:t>
      </w:r>
      <w:r w:rsidR="00122B3B">
        <w:rPr>
          <w:rFonts w:ascii="Georgia" w:hAnsi="Georgia"/>
          <w:color w:val="2F5496" w:themeColor="accent1" w:themeShade="BF"/>
          <w:sz w:val="32"/>
          <w:szCs w:val="32"/>
        </w:rPr>
        <w:t>within</w:t>
      </w:r>
      <w:r w:rsidR="00B1443E">
        <w:rPr>
          <w:rFonts w:ascii="Georgia" w:hAnsi="Georgia"/>
          <w:color w:val="2F5496" w:themeColor="accent1" w:themeShade="BF"/>
          <w:sz w:val="32"/>
          <w:szCs w:val="32"/>
        </w:rPr>
        <w:t xml:space="preserve"> guidance </w:t>
      </w:r>
    </w:p>
    <w:p w14:paraId="73D3C483" w14:textId="77777777" w:rsidR="00B1443E" w:rsidRPr="00B1443E" w:rsidRDefault="00B1443E" w:rsidP="00B1443E">
      <w:pPr>
        <w:pStyle w:val="Subtitle"/>
        <w:rPr>
          <w:color w:val="2F5496" w:themeColor="accent1" w:themeShade="BF"/>
        </w:rPr>
      </w:pPr>
      <w:r w:rsidRPr="00B1443E">
        <w:rPr>
          <w:color w:val="2F5496" w:themeColor="accent1" w:themeShade="BF"/>
        </w:rPr>
        <w:t>How do we determine if we need to notify?</w:t>
      </w:r>
    </w:p>
    <w:p w14:paraId="1E26C071" w14:textId="60B32992" w:rsidR="00B1443E" w:rsidRDefault="00B1443E" w:rsidP="00B1443E">
      <w:pPr>
        <w:rPr>
          <w:rFonts w:ascii="Verdana" w:hAnsi="Verdana"/>
        </w:rPr>
      </w:pPr>
      <w:r w:rsidRPr="00B1443E">
        <w:rPr>
          <w:rFonts w:ascii="Verdana" w:hAnsi="Verdana"/>
        </w:rPr>
        <w:t>You need to assess whether the incident caused a ‘substantial impact on the provision’ of your digital service(s) in order to decide if you need to notify.</w:t>
      </w:r>
    </w:p>
    <w:p w14:paraId="544EAEF0" w14:textId="77777777" w:rsidR="00122B3B" w:rsidRPr="00B1443E" w:rsidRDefault="00122B3B" w:rsidP="00B1443E">
      <w:pPr>
        <w:rPr>
          <w:rFonts w:ascii="Verdana" w:hAnsi="Verdana"/>
        </w:rPr>
      </w:pPr>
    </w:p>
    <w:p w14:paraId="4FB1636D" w14:textId="77777777" w:rsidR="00B1443E" w:rsidRPr="00B1443E" w:rsidRDefault="00B1443E" w:rsidP="00B1443E">
      <w:pPr>
        <w:rPr>
          <w:rFonts w:ascii="Verdana" w:hAnsi="Verdana"/>
        </w:rPr>
      </w:pPr>
      <w:r w:rsidRPr="00B1443E">
        <w:rPr>
          <w:rFonts w:ascii="Verdana" w:hAnsi="Verdana"/>
        </w:rPr>
        <w:lastRenderedPageBreak/>
        <w:t>Regulation 12(7) provides further details on how you can make this determination. This refers to provisions within Article 3 of the DSP Regulation. In short, when determining the impact of an incident you must take into account:</w:t>
      </w:r>
    </w:p>
    <w:p w14:paraId="63402529" w14:textId="77777777" w:rsidR="00B1443E" w:rsidRPr="00B1443E" w:rsidRDefault="00B1443E" w:rsidP="00B1443E">
      <w:pPr>
        <w:numPr>
          <w:ilvl w:val="0"/>
          <w:numId w:val="13"/>
        </w:numPr>
        <w:shd w:val="clear" w:color="auto" w:fill="FFFFFF"/>
        <w:spacing w:before="100" w:beforeAutospacing="1" w:after="100" w:afterAutospacing="1"/>
        <w:rPr>
          <w:rFonts w:ascii="Verdana" w:hAnsi="Verdana" w:cs="Times New Roman"/>
        </w:rPr>
      </w:pPr>
      <w:r w:rsidRPr="00B1443E">
        <w:rPr>
          <w:rFonts w:ascii="Verdana" w:hAnsi="Verdana" w:cs="Times New Roman"/>
        </w:rPr>
        <w:t>the number of users affected by the incident, in particular those relying on the service for the provision of their own services;</w:t>
      </w:r>
    </w:p>
    <w:p w14:paraId="2EDE8A8F" w14:textId="77777777" w:rsidR="00B1443E" w:rsidRPr="00B1443E" w:rsidRDefault="00B1443E" w:rsidP="00B1443E">
      <w:pPr>
        <w:numPr>
          <w:ilvl w:val="0"/>
          <w:numId w:val="13"/>
        </w:numPr>
        <w:shd w:val="clear" w:color="auto" w:fill="FFFFFF"/>
        <w:spacing w:before="120" w:after="100" w:afterAutospacing="1"/>
        <w:rPr>
          <w:rFonts w:ascii="Verdana" w:hAnsi="Verdana" w:cs="Times New Roman"/>
        </w:rPr>
      </w:pPr>
      <w:r w:rsidRPr="00B1443E">
        <w:rPr>
          <w:rFonts w:ascii="Verdana" w:hAnsi="Verdana" w:cs="Times New Roman"/>
        </w:rPr>
        <w:t>the duration of the incident;</w:t>
      </w:r>
    </w:p>
    <w:p w14:paraId="2A7662AC" w14:textId="77777777" w:rsidR="00B1443E" w:rsidRPr="00B1443E" w:rsidRDefault="00B1443E" w:rsidP="00B1443E">
      <w:pPr>
        <w:numPr>
          <w:ilvl w:val="0"/>
          <w:numId w:val="13"/>
        </w:numPr>
        <w:shd w:val="clear" w:color="auto" w:fill="FFFFFF"/>
        <w:spacing w:before="120" w:after="100" w:afterAutospacing="1"/>
        <w:rPr>
          <w:rFonts w:ascii="Verdana" w:hAnsi="Verdana" w:cs="Times New Roman"/>
        </w:rPr>
      </w:pPr>
      <w:r w:rsidRPr="00B1443E">
        <w:rPr>
          <w:rFonts w:ascii="Verdana" w:hAnsi="Verdana" w:cs="Times New Roman"/>
        </w:rPr>
        <w:t>the geographical spread with regard to the area affected;</w:t>
      </w:r>
    </w:p>
    <w:p w14:paraId="1AB42858" w14:textId="77777777" w:rsidR="00B1443E" w:rsidRPr="00B1443E" w:rsidRDefault="00B1443E" w:rsidP="00B1443E">
      <w:pPr>
        <w:numPr>
          <w:ilvl w:val="0"/>
          <w:numId w:val="13"/>
        </w:numPr>
        <w:shd w:val="clear" w:color="auto" w:fill="FFFFFF"/>
        <w:spacing w:before="120" w:after="100" w:afterAutospacing="1"/>
        <w:rPr>
          <w:rFonts w:ascii="Verdana" w:hAnsi="Verdana" w:cs="Times New Roman"/>
        </w:rPr>
      </w:pPr>
      <w:r w:rsidRPr="00B1443E">
        <w:rPr>
          <w:rFonts w:ascii="Verdana" w:hAnsi="Verdana" w:cs="Times New Roman"/>
        </w:rPr>
        <w:t>the extent of the disruption of the functioning of the service;</w:t>
      </w:r>
    </w:p>
    <w:p w14:paraId="0C7C72DE" w14:textId="77777777" w:rsidR="00B1443E" w:rsidRPr="00B1443E" w:rsidRDefault="00B1443E" w:rsidP="00B1443E">
      <w:pPr>
        <w:numPr>
          <w:ilvl w:val="0"/>
          <w:numId w:val="13"/>
        </w:numPr>
        <w:shd w:val="clear" w:color="auto" w:fill="FFFFFF"/>
        <w:spacing w:before="120" w:after="100" w:afterAutospacing="1"/>
        <w:rPr>
          <w:rFonts w:ascii="Verdana" w:hAnsi="Verdana" w:cs="Times New Roman"/>
        </w:rPr>
      </w:pPr>
      <w:r w:rsidRPr="00B1443E">
        <w:rPr>
          <w:rFonts w:ascii="Verdana" w:hAnsi="Verdana" w:cs="Times New Roman"/>
        </w:rPr>
        <w:t>the extent of the impact on economic and societal activities; and</w:t>
      </w:r>
    </w:p>
    <w:p w14:paraId="1D4F5949" w14:textId="77777777" w:rsidR="00B1443E" w:rsidRPr="00B1443E" w:rsidRDefault="00B1443E" w:rsidP="00B1443E">
      <w:pPr>
        <w:numPr>
          <w:ilvl w:val="0"/>
          <w:numId w:val="13"/>
        </w:numPr>
        <w:shd w:val="clear" w:color="auto" w:fill="FFFFFF"/>
        <w:spacing w:before="120" w:after="100" w:afterAutospacing="1"/>
        <w:rPr>
          <w:rFonts w:ascii="Verdana" w:hAnsi="Verdana" w:cs="Times New Roman"/>
        </w:rPr>
      </w:pPr>
      <w:proofErr w:type="gramStart"/>
      <w:r w:rsidRPr="00B1443E">
        <w:rPr>
          <w:rFonts w:ascii="Verdana" w:hAnsi="Verdana" w:cs="Times New Roman"/>
        </w:rPr>
        <w:t>whether</w:t>
      </w:r>
      <w:proofErr w:type="gramEnd"/>
      <w:r w:rsidRPr="00B1443E">
        <w:rPr>
          <w:rFonts w:ascii="Verdana" w:hAnsi="Verdana" w:cs="Times New Roman"/>
        </w:rPr>
        <w:t xml:space="preserve"> one of the thresholds specified in this guidance has taken place.</w:t>
      </w:r>
    </w:p>
    <w:p w14:paraId="08210690" w14:textId="699A126A" w:rsidR="00B1443E" w:rsidRDefault="00B1443E" w:rsidP="00B1443E">
      <w:pPr>
        <w:ind w:right="521"/>
        <w:rPr>
          <w:rFonts w:ascii="Verdana" w:hAnsi="Verdana"/>
        </w:rPr>
      </w:pPr>
      <w:r w:rsidRPr="00B1443E">
        <w:rPr>
          <w:rFonts w:ascii="Verdana" w:hAnsi="Verdana"/>
        </w:rPr>
        <w:t>When assessing the above, you should consider:</w:t>
      </w:r>
    </w:p>
    <w:p w14:paraId="56C1558E" w14:textId="77777777" w:rsidR="00122B3B" w:rsidRPr="00B1443E" w:rsidRDefault="00122B3B" w:rsidP="00B1443E">
      <w:pPr>
        <w:ind w:right="521"/>
        <w:rPr>
          <w:rFonts w:ascii="Verdana" w:hAnsi="Verdana"/>
        </w:rPr>
      </w:pPr>
    </w:p>
    <w:p w14:paraId="760568E6" w14:textId="77777777" w:rsidR="00B1443E" w:rsidRPr="00B1443E" w:rsidRDefault="00B1443E" w:rsidP="00B1443E">
      <w:pPr>
        <w:pStyle w:val="ListParagraph"/>
        <w:numPr>
          <w:ilvl w:val="0"/>
          <w:numId w:val="5"/>
        </w:numPr>
        <w:spacing w:after="120"/>
        <w:ind w:left="714" w:hanging="357"/>
        <w:contextualSpacing w:val="0"/>
        <w:rPr>
          <w:rFonts w:ascii="Verdana" w:hAnsi="Verdana"/>
        </w:rPr>
      </w:pPr>
      <w:proofErr w:type="gramStart"/>
      <w:r w:rsidRPr="00B1443E">
        <w:rPr>
          <w:rFonts w:ascii="Verdana" w:hAnsi="Verdana"/>
        </w:rPr>
        <w:t>the</w:t>
      </w:r>
      <w:proofErr w:type="gramEnd"/>
      <w:r w:rsidRPr="00B1443E">
        <w:rPr>
          <w:rFonts w:ascii="Verdana" w:hAnsi="Verdana"/>
        </w:rPr>
        <w:t xml:space="preserve"> impact the incident has on the functions of your service. For example, whether it means you are unable to provide a critical service to a subset of your users for a period of time, or cannot provide them to any user;</w:t>
      </w:r>
    </w:p>
    <w:p w14:paraId="48962E4C" w14:textId="77777777" w:rsidR="00B1443E" w:rsidRPr="00B1443E" w:rsidRDefault="00B1443E" w:rsidP="00B1443E">
      <w:pPr>
        <w:pStyle w:val="ListParagraph"/>
        <w:numPr>
          <w:ilvl w:val="0"/>
          <w:numId w:val="5"/>
        </w:numPr>
        <w:spacing w:after="120"/>
        <w:ind w:left="714" w:hanging="357"/>
        <w:contextualSpacing w:val="0"/>
        <w:rPr>
          <w:rFonts w:ascii="Verdana" w:hAnsi="Verdana"/>
        </w:rPr>
      </w:pPr>
      <w:proofErr w:type="gramStart"/>
      <w:r w:rsidRPr="00B1443E">
        <w:rPr>
          <w:rFonts w:ascii="Verdana" w:hAnsi="Verdana"/>
        </w:rPr>
        <w:t>the</w:t>
      </w:r>
      <w:proofErr w:type="gramEnd"/>
      <w:r w:rsidRPr="00B1443E">
        <w:rPr>
          <w:rFonts w:ascii="Verdana" w:hAnsi="Verdana"/>
        </w:rPr>
        <w:t xml:space="preserve"> impact the incident has on the information your service stores, transmits or otherwise processes. For example, whether it impacts the confidentiality, integrity, availability and authenticity of the digital data concerned; and</w:t>
      </w:r>
    </w:p>
    <w:p w14:paraId="69B8E067" w14:textId="0CCBB611" w:rsidR="00620EAB" w:rsidRPr="001510BA" w:rsidRDefault="00B1443E" w:rsidP="00B1443E">
      <w:pPr>
        <w:pStyle w:val="ListParagraph"/>
        <w:numPr>
          <w:ilvl w:val="0"/>
          <w:numId w:val="5"/>
        </w:numPr>
        <w:spacing w:after="240"/>
        <w:ind w:left="714" w:hanging="357"/>
        <w:contextualSpacing w:val="0"/>
        <w:rPr>
          <w:rFonts w:ascii="Verdana" w:hAnsi="Verdana"/>
        </w:rPr>
      </w:pPr>
      <w:proofErr w:type="gramStart"/>
      <w:r w:rsidRPr="00B1443E">
        <w:rPr>
          <w:rFonts w:ascii="Verdana" w:hAnsi="Verdana"/>
        </w:rPr>
        <w:t>the</w:t>
      </w:r>
      <w:proofErr w:type="gramEnd"/>
      <w:r w:rsidRPr="00B1443E">
        <w:rPr>
          <w:rFonts w:ascii="Verdana" w:hAnsi="Verdana"/>
        </w:rPr>
        <w:t xml:space="preserve"> resources and time you are likely to need to recover from the incident. For example, if you need specific additional resources to recover beyond those in your incident management and business continuity processes. This does not include instances where you request advice from the NCSC or other bodies, but where you need specific technical assistance to restore your service.</w:t>
      </w:r>
    </w:p>
    <w:p w14:paraId="3E8C3569" w14:textId="1A87E069" w:rsidR="00B1443E" w:rsidRPr="00B1443E" w:rsidRDefault="00B1443E" w:rsidP="00B1443E">
      <w:pPr>
        <w:pStyle w:val="Subtitle"/>
        <w:rPr>
          <w:rFonts w:cs="Times New Roman"/>
          <w:color w:val="2F5496" w:themeColor="accent1" w:themeShade="BF"/>
        </w:rPr>
      </w:pPr>
      <w:r w:rsidRPr="00B1443E">
        <w:rPr>
          <w:color w:val="2F5496" w:themeColor="accent1" w:themeShade="BF"/>
        </w:rPr>
        <w:t>What does the ‘number of users affected’ mean?</w:t>
      </w:r>
    </w:p>
    <w:p w14:paraId="23E9DEEE" w14:textId="77777777" w:rsidR="00B1443E" w:rsidRPr="00B1443E" w:rsidRDefault="00B1443E" w:rsidP="00B1443E">
      <w:pPr>
        <w:rPr>
          <w:rFonts w:ascii="Verdana" w:hAnsi="Verdana"/>
        </w:rPr>
      </w:pPr>
      <w:r w:rsidRPr="00B1443E">
        <w:rPr>
          <w:rFonts w:ascii="Verdana" w:hAnsi="Verdana"/>
        </w:rPr>
        <w:t>Article 3(1) of the DSP Regulation requires you to be in a position to estimate:</w:t>
      </w:r>
    </w:p>
    <w:p w14:paraId="5E1A0582" w14:textId="77777777" w:rsidR="00B1443E" w:rsidRPr="00B1443E" w:rsidRDefault="00B1443E" w:rsidP="00B1443E">
      <w:pPr>
        <w:numPr>
          <w:ilvl w:val="0"/>
          <w:numId w:val="13"/>
        </w:numPr>
        <w:shd w:val="clear" w:color="auto" w:fill="FFFFFF"/>
        <w:spacing w:before="120" w:beforeAutospacing="1" w:after="100" w:afterAutospacing="1"/>
        <w:rPr>
          <w:rFonts w:ascii="Verdana" w:hAnsi="Verdana" w:cs="Times New Roman"/>
        </w:rPr>
      </w:pPr>
      <w:r w:rsidRPr="00B1443E">
        <w:rPr>
          <w:rFonts w:ascii="Verdana" w:hAnsi="Verdana" w:cs="Times New Roman"/>
        </w:rPr>
        <w:t>the number of affected persons you have a contract with (this includes both individuals and organisations); or</w:t>
      </w:r>
    </w:p>
    <w:p w14:paraId="27523D25" w14:textId="77777777" w:rsidR="00B1443E" w:rsidRPr="00B1443E" w:rsidRDefault="00B1443E" w:rsidP="00B1443E">
      <w:pPr>
        <w:numPr>
          <w:ilvl w:val="0"/>
          <w:numId w:val="13"/>
        </w:numPr>
        <w:shd w:val="clear" w:color="auto" w:fill="FFFFFF"/>
        <w:spacing w:before="120" w:after="100" w:afterAutospacing="1"/>
        <w:rPr>
          <w:rFonts w:ascii="Verdana" w:hAnsi="Verdana" w:cs="Times New Roman"/>
        </w:rPr>
      </w:pPr>
      <w:proofErr w:type="gramStart"/>
      <w:r w:rsidRPr="00B1443E">
        <w:rPr>
          <w:rFonts w:ascii="Verdana" w:hAnsi="Verdana" w:cs="Times New Roman"/>
        </w:rPr>
        <w:t>the</w:t>
      </w:r>
      <w:proofErr w:type="gramEnd"/>
      <w:r w:rsidRPr="00B1443E">
        <w:rPr>
          <w:rFonts w:ascii="Verdana" w:hAnsi="Verdana" w:cs="Times New Roman"/>
        </w:rPr>
        <w:t xml:space="preserve"> number of affected users determined by reference to previous traffic data.</w:t>
      </w:r>
    </w:p>
    <w:p w14:paraId="19008405" w14:textId="77777777" w:rsidR="00B1443E" w:rsidRPr="00B1443E" w:rsidRDefault="00B1443E" w:rsidP="00B1443E">
      <w:pPr>
        <w:shd w:val="clear" w:color="auto" w:fill="FFFFFF"/>
        <w:spacing w:before="120" w:after="100" w:afterAutospacing="1"/>
        <w:rPr>
          <w:rFonts w:ascii="Verdana" w:hAnsi="Verdana" w:cs="Times New Roman"/>
        </w:rPr>
      </w:pPr>
      <w:r w:rsidRPr="00B1443E">
        <w:rPr>
          <w:rFonts w:ascii="Verdana" w:hAnsi="Verdana" w:cs="Times New Roman"/>
        </w:rPr>
        <w:lastRenderedPageBreak/>
        <w:t>A “user” in the context of NIS may comprise a person, organisation or other entity that uses the service(s) you provide. In some cases you may not have visibility of every single user, and Regulation 12(4) only requires you to notify where you have access to the information that allows you to assess the impact of an incident.</w:t>
      </w:r>
      <w:r w:rsidRPr="00B1443E">
        <w:rPr>
          <w:rFonts w:ascii="Verdana" w:eastAsiaTheme="minorEastAsia" w:hAnsi="Verdana" w:cstheme="minorBidi"/>
          <w:sz w:val="32"/>
        </w:rPr>
        <w:t xml:space="preserve"> </w:t>
      </w:r>
      <w:r w:rsidRPr="00B1443E">
        <w:rPr>
          <w:rFonts w:ascii="Verdana" w:hAnsi="Verdana" w:cs="Times New Roman"/>
        </w:rPr>
        <w:t>The key is the extent to which you are aware of the type and number of users at a particular point in time.</w:t>
      </w:r>
    </w:p>
    <w:p w14:paraId="43D5638C" w14:textId="77777777" w:rsidR="00B1443E" w:rsidRPr="00B1443E" w:rsidRDefault="00B1443E" w:rsidP="00B1443E">
      <w:pPr>
        <w:pStyle w:val="Subtitle"/>
        <w:rPr>
          <w:color w:val="2F5496" w:themeColor="accent1" w:themeShade="BF"/>
        </w:rPr>
      </w:pPr>
      <w:r w:rsidRPr="00B1443E">
        <w:rPr>
          <w:color w:val="2F5496" w:themeColor="accent1" w:themeShade="BF"/>
        </w:rPr>
        <w:t>What does the ‘duration of the incident’ mean?</w:t>
      </w:r>
    </w:p>
    <w:p w14:paraId="6C58C062" w14:textId="77777777" w:rsidR="00B1443E" w:rsidRPr="00B1443E" w:rsidRDefault="00B1443E" w:rsidP="00B1443E">
      <w:pPr>
        <w:rPr>
          <w:rFonts w:ascii="Verdana" w:hAnsi="Verdana"/>
        </w:rPr>
      </w:pPr>
      <w:proofErr w:type="gramStart"/>
      <w:r w:rsidRPr="00B1443E">
        <w:rPr>
          <w:rFonts w:ascii="Verdana" w:hAnsi="Verdana"/>
        </w:rPr>
        <w:t>Article 3(2) of the DSP Regulation states that this refers to the period of time from the disruption of the service until its recovery.</w:t>
      </w:r>
      <w:proofErr w:type="gramEnd"/>
    </w:p>
    <w:p w14:paraId="23D9573B" w14:textId="77777777" w:rsidR="00B1443E" w:rsidRPr="00B1443E" w:rsidRDefault="00B1443E" w:rsidP="00B1443E">
      <w:pPr>
        <w:rPr>
          <w:rFonts w:ascii="Verdana" w:hAnsi="Verdana"/>
        </w:rPr>
      </w:pPr>
      <w:r w:rsidRPr="00B1443E">
        <w:rPr>
          <w:rFonts w:ascii="Verdana" w:hAnsi="Verdana"/>
        </w:rPr>
        <w:t>You must assess the disruption on the basis of availability, authenticity, integrity and confidentiality of the digital data you process.</w:t>
      </w:r>
    </w:p>
    <w:p w14:paraId="63F42E00" w14:textId="77777777" w:rsidR="00B1443E" w:rsidRPr="00B1443E" w:rsidRDefault="00B1443E" w:rsidP="00B1443E">
      <w:pPr>
        <w:pStyle w:val="Subtitle"/>
        <w:rPr>
          <w:color w:val="2F5496" w:themeColor="accent1" w:themeShade="BF"/>
        </w:rPr>
      </w:pPr>
      <w:r w:rsidRPr="00B1443E">
        <w:rPr>
          <w:color w:val="2F5496" w:themeColor="accent1" w:themeShade="BF"/>
        </w:rPr>
        <w:t>What does the ‘geographical spread with regard to the area affected’ mean?</w:t>
      </w:r>
    </w:p>
    <w:p w14:paraId="29959F5A" w14:textId="77777777" w:rsidR="00B1443E" w:rsidRPr="00B1443E" w:rsidRDefault="00B1443E" w:rsidP="00B1443E">
      <w:pPr>
        <w:rPr>
          <w:rFonts w:ascii="Verdana" w:hAnsi="Verdana"/>
        </w:rPr>
      </w:pPr>
      <w:r w:rsidRPr="00B1443E">
        <w:rPr>
          <w:rFonts w:ascii="Verdana" w:hAnsi="Verdana"/>
        </w:rPr>
        <w:t>Article 3(3) of the DSP Regulation clarifies that this refers to your ability to identify whether the NIS incident affects the provision of your services in other countries – in other words, you need to determine if the incident has cross-border impact.</w:t>
      </w:r>
    </w:p>
    <w:p w14:paraId="6C0F0201" w14:textId="77777777" w:rsidR="00B1443E" w:rsidRPr="00B1443E" w:rsidRDefault="00B1443E" w:rsidP="00B1443E">
      <w:pPr>
        <w:rPr>
          <w:rFonts w:ascii="Verdana" w:hAnsi="Verdana"/>
        </w:rPr>
      </w:pPr>
      <w:r w:rsidRPr="00B1443E">
        <w:rPr>
          <w:rFonts w:ascii="Verdana" w:hAnsi="Verdana"/>
        </w:rPr>
        <w:t>You are required to provide the ICO with sufficient information for us to assess the significance of any cross-border impact.</w:t>
      </w:r>
    </w:p>
    <w:p w14:paraId="16CCD70D" w14:textId="77777777" w:rsidR="00B1443E" w:rsidRPr="00B1443E" w:rsidRDefault="00B1443E" w:rsidP="00B1443E">
      <w:pPr>
        <w:pStyle w:val="Subtitle"/>
        <w:rPr>
          <w:color w:val="2F5496" w:themeColor="accent1" w:themeShade="BF"/>
        </w:rPr>
      </w:pPr>
      <w:r w:rsidRPr="00B1443E">
        <w:rPr>
          <w:color w:val="2F5496" w:themeColor="accent1" w:themeShade="BF"/>
        </w:rPr>
        <w:t>What does the ‘extent of the disruption’ mean?</w:t>
      </w:r>
    </w:p>
    <w:p w14:paraId="4B62DCC6" w14:textId="77777777" w:rsidR="00B1443E" w:rsidRPr="00B1443E" w:rsidRDefault="00B1443E" w:rsidP="00B1443E">
      <w:pPr>
        <w:rPr>
          <w:rFonts w:ascii="Verdana" w:hAnsi="Verdana"/>
        </w:rPr>
      </w:pPr>
      <w:r w:rsidRPr="00B1443E">
        <w:rPr>
          <w:rFonts w:ascii="Verdana" w:hAnsi="Verdana"/>
        </w:rPr>
        <w:t>Article 3(4) of the DSP Regulation requires you to be able to measure whether the NIS incident has impaired one or more of the following:</w:t>
      </w:r>
    </w:p>
    <w:p w14:paraId="2ABC639C" w14:textId="77777777" w:rsidR="00B1443E" w:rsidRPr="00B1443E" w:rsidRDefault="00B1443E" w:rsidP="00B1443E">
      <w:pPr>
        <w:numPr>
          <w:ilvl w:val="0"/>
          <w:numId w:val="13"/>
        </w:numPr>
        <w:shd w:val="clear" w:color="auto" w:fill="FFFFFF"/>
        <w:spacing w:after="120"/>
        <w:ind w:left="714" w:hanging="357"/>
        <w:rPr>
          <w:rFonts w:ascii="Verdana" w:hAnsi="Verdana" w:cs="Times New Roman"/>
          <w:color w:val="000000"/>
        </w:rPr>
      </w:pPr>
      <w:r w:rsidRPr="00B1443E">
        <w:rPr>
          <w:rFonts w:ascii="Verdana" w:hAnsi="Verdana" w:cs="Times New Roman"/>
          <w:color w:val="000000"/>
        </w:rPr>
        <w:t>the availability of data or related services;</w:t>
      </w:r>
    </w:p>
    <w:p w14:paraId="18461CAF" w14:textId="77777777" w:rsidR="00B1443E" w:rsidRPr="00B1443E" w:rsidRDefault="00B1443E" w:rsidP="00B1443E">
      <w:pPr>
        <w:numPr>
          <w:ilvl w:val="0"/>
          <w:numId w:val="13"/>
        </w:numPr>
        <w:shd w:val="clear" w:color="auto" w:fill="FFFFFF"/>
        <w:spacing w:after="120"/>
        <w:ind w:left="714" w:hanging="357"/>
        <w:rPr>
          <w:rFonts w:ascii="Verdana" w:hAnsi="Verdana" w:cs="Times New Roman"/>
          <w:color w:val="000000"/>
        </w:rPr>
      </w:pPr>
      <w:r w:rsidRPr="00B1443E">
        <w:rPr>
          <w:rFonts w:ascii="Verdana" w:hAnsi="Verdana" w:cs="Times New Roman"/>
          <w:color w:val="000000"/>
        </w:rPr>
        <w:t>the authenticity of data or related services;</w:t>
      </w:r>
    </w:p>
    <w:p w14:paraId="54C72437" w14:textId="77777777" w:rsidR="00B1443E" w:rsidRPr="00B1443E" w:rsidRDefault="00B1443E" w:rsidP="00B1443E">
      <w:pPr>
        <w:numPr>
          <w:ilvl w:val="0"/>
          <w:numId w:val="13"/>
        </w:numPr>
        <w:shd w:val="clear" w:color="auto" w:fill="FFFFFF"/>
        <w:spacing w:after="120"/>
        <w:ind w:left="714" w:hanging="357"/>
        <w:rPr>
          <w:rFonts w:ascii="Verdana" w:hAnsi="Verdana" w:cs="Times New Roman"/>
          <w:color w:val="000000"/>
        </w:rPr>
      </w:pPr>
      <w:r w:rsidRPr="00B1443E">
        <w:rPr>
          <w:rFonts w:ascii="Verdana" w:hAnsi="Verdana" w:cs="Times New Roman"/>
          <w:color w:val="000000"/>
        </w:rPr>
        <w:t>the integrity of data or related services; and</w:t>
      </w:r>
    </w:p>
    <w:p w14:paraId="76C5261F" w14:textId="77777777" w:rsidR="00B1443E" w:rsidRPr="00B1443E" w:rsidRDefault="00B1443E" w:rsidP="00B1443E">
      <w:pPr>
        <w:numPr>
          <w:ilvl w:val="0"/>
          <w:numId w:val="13"/>
        </w:numPr>
        <w:shd w:val="clear" w:color="auto" w:fill="FFFFFF"/>
        <w:spacing w:after="240"/>
        <w:ind w:left="714" w:hanging="357"/>
        <w:rPr>
          <w:rFonts w:ascii="Verdana" w:hAnsi="Verdana"/>
          <w:color w:val="000000"/>
          <w:sz w:val="23"/>
          <w:szCs w:val="23"/>
        </w:rPr>
      </w:pPr>
      <w:proofErr w:type="gramStart"/>
      <w:r w:rsidRPr="00B1443E">
        <w:rPr>
          <w:rFonts w:ascii="Verdana" w:hAnsi="Verdana"/>
          <w:color w:val="000000"/>
          <w:sz w:val="23"/>
          <w:szCs w:val="23"/>
        </w:rPr>
        <w:t>the</w:t>
      </w:r>
      <w:proofErr w:type="gramEnd"/>
      <w:r w:rsidRPr="00B1443E">
        <w:rPr>
          <w:rFonts w:ascii="Verdana" w:hAnsi="Verdana"/>
          <w:color w:val="000000"/>
          <w:sz w:val="23"/>
          <w:szCs w:val="23"/>
        </w:rPr>
        <w:t xml:space="preserve"> </w:t>
      </w:r>
      <w:r w:rsidRPr="00B1443E">
        <w:rPr>
          <w:rFonts w:ascii="Verdana" w:hAnsi="Verdana" w:cs="Times New Roman"/>
          <w:color w:val="000000"/>
        </w:rPr>
        <w:t>confidentiality</w:t>
      </w:r>
      <w:r w:rsidRPr="00B1443E">
        <w:rPr>
          <w:rFonts w:ascii="Verdana" w:hAnsi="Verdana"/>
          <w:color w:val="000000"/>
          <w:sz w:val="23"/>
          <w:szCs w:val="23"/>
        </w:rPr>
        <w:t xml:space="preserve"> of data or related services.</w:t>
      </w:r>
    </w:p>
    <w:p w14:paraId="045472CB" w14:textId="77777777" w:rsidR="00B1443E" w:rsidRPr="00B1443E" w:rsidRDefault="00B1443E" w:rsidP="00B1443E">
      <w:pPr>
        <w:pStyle w:val="Subtitle"/>
        <w:rPr>
          <w:color w:val="2F5496" w:themeColor="accent1" w:themeShade="BF"/>
        </w:rPr>
      </w:pPr>
      <w:r w:rsidRPr="00B1443E">
        <w:rPr>
          <w:color w:val="2F5496" w:themeColor="accent1" w:themeShade="BF"/>
        </w:rPr>
        <w:t>What does the ‘extent of the impact’ mean?</w:t>
      </w:r>
    </w:p>
    <w:p w14:paraId="36C48F38" w14:textId="383CE2C4" w:rsidR="00B1443E" w:rsidRDefault="00B1443E" w:rsidP="00B1443E">
      <w:pPr>
        <w:rPr>
          <w:rFonts w:ascii="Verdana" w:hAnsi="Verdana"/>
        </w:rPr>
      </w:pPr>
      <w:r w:rsidRPr="00B1443E">
        <w:rPr>
          <w:rFonts w:ascii="Verdana" w:hAnsi="Verdana"/>
        </w:rPr>
        <w:t>Article 3(5) of the DSP Regulation requires you to be able to conclude whether the incident has:</w:t>
      </w:r>
    </w:p>
    <w:p w14:paraId="12D44F4C" w14:textId="77777777" w:rsidR="00122B3B" w:rsidRPr="00B1443E" w:rsidRDefault="00122B3B" w:rsidP="00B1443E">
      <w:pPr>
        <w:rPr>
          <w:rFonts w:ascii="Verdana" w:hAnsi="Verdana"/>
        </w:rPr>
      </w:pPr>
    </w:p>
    <w:p w14:paraId="2DB71709" w14:textId="77777777" w:rsidR="00B1443E" w:rsidRPr="00B1443E" w:rsidRDefault="00B1443E" w:rsidP="00B1443E">
      <w:pPr>
        <w:pStyle w:val="NormalWeb"/>
        <w:pBdr>
          <w:top w:val="single" w:sz="4" w:space="1" w:color="auto"/>
          <w:left w:val="single" w:sz="4" w:space="4" w:color="auto"/>
          <w:bottom w:val="single" w:sz="4" w:space="1" w:color="auto"/>
          <w:right w:val="single" w:sz="4" w:space="4" w:color="auto"/>
        </w:pBdr>
        <w:shd w:val="clear" w:color="auto" w:fill="F7F3F0"/>
        <w:spacing w:before="0" w:beforeAutospacing="0" w:after="240" w:afterAutospacing="0"/>
        <w:rPr>
          <w:rFonts w:ascii="Verdana" w:hAnsi="Verdana"/>
          <w:color w:val="000000"/>
        </w:rPr>
      </w:pPr>
      <w:r w:rsidRPr="00B1443E">
        <w:rPr>
          <w:rFonts w:ascii="Verdana" w:hAnsi="Verdana"/>
          <w:color w:val="000000"/>
        </w:rPr>
        <w:t>‘</w:t>
      </w:r>
      <w:proofErr w:type="gramStart"/>
      <w:r w:rsidRPr="00B1443E">
        <w:rPr>
          <w:rFonts w:ascii="Verdana" w:hAnsi="Verdana"/>
          <w:color w:val="000000"/>
        </w:rPr>
        <w:t>caused</w:t>
      </w:r>
      <w:proofErr w:type="gramEnd"/>
      <w:r w:rsidRPr="00B1443E">
        <w:rPr>
          <w:rFonts w:ascii="Verdana" w:hAnsi="Verdana"/>
          <w:color w:val="000000"/>
        </w:rPr>
        <w:t xml:space="preserve"> significant material or non-material losses for the users in relation to health, safety, or damage to property.’</w:t>
      </w:r>
    </w:p>
    <w:p w14:paraId="63FB76E1" w14:textId="2F55182A" w:rsidR="00B1443E" w:rsidRDefault="00B1443E" w:rsidP="00B1443E">
      <w:pPr>
        <w:rPr>
          <w:rFonts w:ascii="Verdana" w:hAnsi="Verdana"/>
        </w:rPr>
      </w:pPr>
      <w:r w:rsidRPr="00B1443E">
        <w:rPr>
          <w:rFonts w:ascii="Verdana" w:hAnsi="Verdana"/>
        </w:rPr>
        <w:lastRenderedPageBreak/>
        <w:t>You should reach this conclusion by indications such as the nature of your contractual relations with your customers (ie the type of customer your digital service serves) and, where appropriate, the potential number of affected users.</w:t>
      </w:r>
    </w:p>
    <w:p w14:paraId="6E8CBEAC" w14:textId="77777777" w:rsidR="00122B3B" w:rsidRPr="00B1443E" w:rsidRDefault="00122B3B" w:rsidP="00B1443E">
      <w:pPr>
        <w:rPr>
          <w:rFonts w:ascii="Verdana" w:hAnsi="Verdana"/>
        </w:rPr>
      </w:pPr>
    </w:p>
    <w:p w14:paraId="410C81EF" w14:textId="287BCE43" w:rsidR="00B1443E" w:rsidRDefault="00B1443E" w:rsidP="00B1443E">
      <w:pPr>
        <w:rPr>
          <w:rFonts w:ascii="Verdana" w:hAnsi="Verdana"/>
        </w:rPr>
      </w:pPr>
      <w:r w:rsidRPr="00B1443E">
        <w:rPr>
          <w:rFonts w:ascii="Verdana" w:hAnsi="Verdana"/>
        </w:rPr>
        <w:t>Importantly, under Article 3(6) of the DSP Regulation, for the purposes of the above, DSPs:</w:t>
      </w:r>
    </w:p>
    <w:p w14:paraId="30A4AAE5" w14:textId="77777777" w:rsidR="00122B3B" w:rsidRPr="00B1443E" w:rsidRDefault="00122B3B" w:rsidP="00B1443E">
      <w:pPr>
        <w:rPr>
          <w:rFonts w:ascii="Verdana" w:hAnsi="Verdana"/>
        </w:rPr>
      </w:pPr>
    </w:p>
    <w:p w14:paraId="17E192C1" w14:textId="77777777" w:rsidR="00B1443E" w:rsidRPr="00B1443E" w:rsidRDefault="00B1443E" w:rsidP="00B1443E">
      <w:pPr>
        <w:pStyle w:val="NormalWeb"/>
        <w:pBdr>
          <w:top w:val="single" w:sz="4" w:space="1" w:color="auto"/>
          <w:left w:val="single" w:sz="4" w:space="4" w:color="auto"/>
          <w:bottom w:val="single" w:sz="4" w:space="1" w:color="auto"/>
          <w:right w:val="single" w:sz="4" w:space="4" w:color="auto"/>
        </w:pBdr>
        <w:shd w:val="clear" w:color="auto" w:fill="F7F3F0"/>
        <w:spacing w:before="0" w:beforeAutospacing="0" w:after="240" w:afterAutospacing="0"/>
        <w:rPr>
          <w:rFonts w:ascii="Verdana" w:hAnsi="Verdana"/>
          <w:color w:val="000000"/>
        </w:rPr>
      </w:pPr>
      <w:r w:rsidRPr="00B1443E">
        <w:rPr>
          <w:rFonts w:ascii="Verdana" w:hAnsi="Verdana"/>
          <w:color w:val="000000"/>
        </w:rPr>
        <w:t>‘</w:t>
      </w:r>
      <w:proofErr w:type="gramStart"/>
      <w:r w:rsidRPr="00B1443E">
        <w:rPr>
          <w:rFonts w:ascii="Verdana" w:hAnsi="Verdana"/>
          <w:color w:val="000000"/>
        </w:rPr>
        <w:t>shall</w:t>
      </w:r>
      <w:proofErr w:type="gramEnd"/>
      <w:r w:rsidRPr="00B1443E">
        <w:rPr>
          <w:rFonts w:ascii="Verdana" w:hAnsi="Verdana"/>
          <w:color w:val="000000"/>
        </w:rPr>
        <w:t xml:space="preserve"> not be required to collect additional information to which they do not have access’</w:t>
      </w:r>
    </w:p>
    <w:p w14:paraId="43C7C34A" w14:textId="77777777" w:rsidR="00B1443E" w:rsidRPr="00B1443E" w:rsidRDefault="00B1443E" w:rsidP="00B1443E">
      <w:pPr>
        <w:pStyle w:val="Subtitle"/>
        <w:rPr>
          <w:color w:val="2F5496" w:themeColor="accent1" w:themeShade="BF"/>
        </w:rPr>
      </w:pPr>
      <w:r w:rsidRPr="00B1443E">
        <w:rPr>
          <w:color w:val="2F5496" w:themeColor="accent1" w:themeShade="BF"/>
        </w:rPr>
        <w:t>What other thresholds apply?</w:t>
      </w:r>
    </w:p>
    <w:p w14:paraId="024D30FB" w14:textId="77777777" w:rsidR="00122B3B" w:rsidRDefault="00B1443E" w:rsidP="00B1443E">
      <w:pPr>
        <w:ind w:right="522"/>
        <w:rPr>
          <w:rFonts w:ascii="Verdana" w:hAnsi="Verdana"/>
        </w:rPr>
      </w:pPr>
      <w:r w:rsidRPr="00B1443E">
        <w:rPr>
          <w:rFonts w:ascii="Verdana" w:hAnsi="Verdana"/>
        </w:rPr>
        <w:t>When making your assessment in line with the above requirements, you should assess the level of impact using the matrix below to determine whether the impact is ‘substantial’:</w:t>
      </w:r>
    </w:p>
    <w:p w14:paraId="619BCB2B" w14:textId="29594704" w:rsidR="00B1443E" w:rsidRDefault="00B1443E" w:rsidP="00B1443E">
      <w:pPr>
        <w:ind w:right="522"/>
        <w:rPr>
          <w:rFonts w:ascii="Verdana" w:hAnsi="Verdana"/>
        </w:rPr>
      </w:pPr>
      <w:r w:rsidRPr="00B1443E">
        <w:rPr>
          <w:rFonts w:ascii="Verdana" w:hAnsi="Verdana"/>
        </w:rPr>
        <w:t xml:space="preserve"> </w:t>
      </w:r>
    </w:p>
    <w:p w14:paraId="61062869" w14:textId="77777777" w:rsidR="00E606F5" w:rsidRPr="00B1443E" w:rsidRDefault="00E606F5" w:rsidP="00B1443E">
      <w:pPr>
        <w:ind w:right="522"/>
        <w:rPr>
          <w:rFonts w:ascii="Verdana" w:hAnsi="Verdana"/>
        </w:rPr>
      </w:pPr>
    </w:p>
    <w:tbl>
      <w:tblPr>
        <w:tblStyle w:val="TableGrid"/>
        <w:tblW w:w="0" w:type="auto"/>
        <w:tblInd w:w="-5" w:type="dxa"/>
        <w:tblLayout w:type="fixed"/>
        <w:tblLook w:val="04A0" w:firstRow="1" w:lastRow="0" w:firstColumn="1" w:lastColumn="0" w:noHBand="0" w:noVBand="1"/>
      </w:tblPr>
      <w:tblGrid>
        <w:gridCol w:w="2268"/>
        <w:gridCol w:w="1559"/>
        <w:gridCol w:w="2268"/>
        <w:gridCol w:w="2552"/>
      </w:tblGrid>
      <w:tr w:rsidR="00B1443E" w:rsidRPr="00B1443E" w14:paraId="5372138A" w14:textId="77777777" w:rsidTr="00620EAB">
        <w:tc>
          <w:tcPr>
            <w:tcW w:w="2268" w:type="dxa"/>
            <w:shd w:val="clear" w:color="auto" w:fill="D9D9D9" w:themeFill="background1" w:themeFillShade="D9"/>
          </w:tcPr>
          <w:p w14:paraId="30CE0FEE" w14:textId="77777777" w:rsidR="00B1443E" w:rsidRPr="00B1443E" w:rsidRDefault="00B1443E" w:rsidP="0086658F">
            <w:pPr>
              <w:tabs>
                <w:tab w:val="left" w:pos="1388"/>
              </w:tabs>
              <w:ind w:right="522"/>
              <w:rPr>
                <w:rFonts w:ascii="Verdana" w:hAnsi="Verdana"/>
                <w:b/>
                <w:bCs/>
              </w:rPr>
            </w:pPr>
            <w:r w:rsidRPr="00B1443E">
              <w:rPr>
                <w:rFonts w:ascii="Verdana" w:hAnsi="Verdana"/>
                <w:b/>
                <w:bCs/>
              </w:rPr>
              <w:t>Criterion</w:t>
            </w:r>
          </w:p>
        </w:tc>
        <w:tc>
          <w:tcPr>
            <w:tcW w:w="6379" w:type="dxa"/>
            <w:gridSpan w:val="3"/>
            <w:shd w:val="clear" w:color="auto" w:fill="D9D9D9" w:themeFill="background1" w:themeFillShade="D9"/>
          </w:tcPr>
          <w:p w14:paraId="6C45F919" w14:textId="77777777" w:rsidR="00B1443E" w:rsidRPr="00B1443E" w:rsidRDefault="00B1443E" w:rsidP="0086658F">
            <w:pPr>
              <w:ind w:left="37"/>
              <w:rPr>
                <w:rFonts w:ascii="Verdana" w:hAnsi="Verdana"/>
                <w:b/>
                <w:bCs/>
              </w:rPr>
            </w:pPr>
            <w:r w:rsidRPr="00B1443E">
              <w:rPr>
                <w:rFonts w:ascii="Verdana" w:hAnsi="Verdana"/>
                <w:b/>
                <w:bCs/>
              </w:rPr>
              <w:t>Impact level</w:t>
            </w:r>
          </w:p>
        </w:tc>
      </w:tr>
      <w:tr w:rsidR="00B1443E" w:rsidRPr="00B1443E" w14:paraId="05CB7137" w14:textId="77777777" w:rsidTr="00620EAB">
        <w:tc>
          <w:tcPr>
            <w:tcW w:w="2268" w:type="dxa"/>
          </w:tcPr>
          <w:p w14:paraId="5A647EDB" w14:textId="77777777" w:rsidR="00B1443E" w:rsidRPr="00B1443E" w:rsidRDefault="00B1443E" w:rsidP="0086658F">
            <w:pPr>
              <w:tabs>
                <w:tab w:val="left" w:pos="1388"/>
              </w:tabs>
              <w:ind w:right="522"/>
              <w:rPr>
                <w:rFonts w:ascii="Verdana" w:hAnsi="Verdana"/>
              </w:rPr>
            </w:pPr>
            <w:r w:rsidRPr="00B1443E">
              <w:rPr>
                <w:rFonts w:ascii="Verdana" w:hAnsi="Verdana"/>
              </w:rPr>
              <w:t>Functioning</w:t>
            </w:r>
          </w:p>
        </w:tc>
        <w:tc>
          <w:tcPr>
            <w:tcW w:w="1559" w:type="dxa"/>
            <w:shd w:val="clear" w:color="auto" w:fill="C5E0B3" w:themeFill="accent6" w:themeFillTint="66"/>
          </w:tcPr>
          <w:p w14:paraId="5C637CB6" w14:textId="77777777" w:rsidR="00B1443E" w:rsidRPr="00B1443E" w:rsidRDefault="00B1443E" w:rsidP="0086658F">
            <w:pPr>
              <w:ind w:left="37"/>
              <w:rPr>
                <w:rFonts w:ascii="Verdana" w:hAnsi="Verdana"/>
              </w:rPr>
            </w:pPr>
            <w:r w:rsidRPr="00B1443E">
              <w:rPr>
                <w:rFonts w:ascii="Verdana" w:hAnsi="Verdana"/>
              </w:rPr>
              <w:t>Low (1)</w:t>
            </w:r>
          </w:p>
        </w:tc>
        <w:tc>
          <w:tcPr>
            <w:tcW w:w="2268" w:type="dxa"/>
            <w:shd w:val="clear" w:color="auto" w:fill="FFE599" w:themeFill="accent4" w:themeFillTint="66"/>
          </w:tcPr>
          <w:p w14:paraId="6FB43432" w14:textId="77777777" w:rsidR="00B1443E" w:rsidRPr="00B1443E" w:rsidRDefault="00B1443E" w:rsidP="0086658F">
            <w:pPr>
              <w:ind w:left="37"/>
              <w:rPr>
                <w:rFonts w:ascii="Verdana" w:hAnsi="Verdana"/>
              </w:rPr>
            </w:pPr>
            <w:r w:rsidRPr="00B1443E">
              <w:rPr>
                <w:rFonts w:ascii="Verdana" w:hAnsi="Verdana"/>
              </w:rPr>
              <w:t>Medium (2)</w:t>
            </w:r>
          </w:p>
        </w:tc>
        <w:tc>
          <w:tcPr>
            <w:tcW w:w="2552" w:type="dxa"/>
            <w:shd w:val="clear" w:color="auto" w:fill="C00000"/>
          </w:tcPr>
          <w:p w14:paraId="6F435973" w14:textId="77777777" w:rsidR="00B1443E" w:rsidRPr="00B1443E" w:rsidRDefault="00B1443E" w:rsidP="0086658F">
            <w:pPr>
              <w:ind w:left="37"/>
              <w:rPr>
                <w:rFonts w:ascii="Verdana" w:hAnsi="Verdana"/>
              </w:rPr>
            </w:pPr>
            <w:r w:rsidRPr="00B1443E">
              <w:rPr>
                <w:rFonts w:ascii="Verdana" w:hAnsi="Verdana"/>
              </w:rPr>
              <w:t>High (3)</w:t>
            </w:r>
          </w:p>
        </w:tc>
      </w:tr>
      <w:tr w:rsidR="00B1443E" w:rsidRPr="00B1443E" w14:paraId="1C25886B" w14:textId="77777777" w:rsidTr="00620EAB">
        <w:tc>
          <w:tcPr>
            <w:tcW w:w="2268" w:type="dxa"/>
          </w:tcPr>
          <w:p w14:paraId="68C2F5C3" w14:textId="77777777" w:rsidR="00B1443E" w:rsidRPr="00B1443E" w:rsidRDefault="00B1443E" w:rsidP="0086658F">
            <w:pPr>
              <w:tabs>
                <w:tab w:val="left" w:pos="1388"/>
              </w:tabs>
              <w:rPr>
                <w:rFonts w:ascii="Verdana" w:hAnsi="Verdana"/>
              </w:rPr>
            </w:pPr>
            <w:r w:rsidRPr="00B1443E">
              <w:rPr>
                <w:rFonts w:ascii="Verdana" w:hAnsi="Verdana"/>
              </w:rPr>
              <w:t>Information</w:t>
            </w:r>
          </w:p>
        </w:tc>
        <w:tc>
          <w:tcPr>
            <w:tcW w:w="1559" w:type="dxa"/>
            <w:shd w:val="clear" w:color="auto" w:fill="C5E0B3" w:themeFill="accent6" w:themeFillTint="66"/>
          </w:tcPr>
          <w:p w14:paraId="1A5B2F2E" w14:textId="77777777" w:rsidR="00B1443E" w:rsidRPr="00B1443E" w:rsidRDefault="00B1443E" w:rsidP="0086658F">
            <w:pPr>
              <w:ind w:left="37"/>
              <w:rPr>
                <w:rFonts w:ascii="Verdana" w:hAnsi="Verdana"/>
              </w:rPr>
            </w:pPr>
            <w:r w:rsidRPr="00B1443E">
              <w:rPr>
                <w:rFonts w:ascii="Verdana" w:hAnsi="Verdana"/>
              </w:rPr>
              <w:t>Low (1)</w:t>
            </w:r>
          </w:p>
        </w:tc>
        <w:tc>
          <w:tcPr>
            <w:tcW w:w="2268" w:type="dxa"/>
            <w:shd w:val="clear" w:color="auto" w:fill="FFE599" w:themeFill="accent4" w:themeFillTint="66"/>
          </w:tcPr>
          <w:p w14:paraId="372DBC6C" w14:textId="77777777" w:rsidR="00B1443E" w:rsidRPr="00B1443E" w:rsidRDefault="00B1443E" w:rsidP="0086658F">
            <w:pPr>
              <w:ind w:left="37"/>
              <w:rPr>
                <w:rFonts w:ascii="Verdana" w:hAnsi="Verdana"/>
              </w:rPr>
            </w:pPr>
            <w:r w:rsidRPr="00B1443E">
              <w:rPr>
                <w:rFonts w:ascii="Verdana" w:hAnsi="Verdana"/>
              </w:rPr>
              <w:t>Medium (2)</w:t>
            </w:r>
          </w:p>
        </w:tc>
        <w:tc>
          <w:tcPr>
            <w:tcW w:w="2552" w:type="dxa"/>
            <w:shd w:val="clear" w:color="auto" w:fill="C00000"/>
          </w:tcPr>
          <w:p w14:paraId="70A2445D" w14:textId="77777777" w:rsidR="00B1443E" w:rsidRPr="00B1443E" w:rsidRDefault="00B1443E" w:rsidP="0086658F">
            <w:pPr>
              <w:ind w:left="37"/>
              <w:rPr>
                <w:rFonts w:ascii="Verdana" w:hAnsi="Verdana"/>
              </w:rPr>
            </w:pPr>
            <w:r w:rsidRPr="00B1443E">
              <w:rPr>
                <w:rFonts w:ascii="Verdana" w:hAnsi="Verdana"/>
              </w:rPr>
              <w:t>High (3)</w:t>
            </w:r>
          </w:p>
        </w:tc>
      </w:tr>
      <w:tr w:rsidR="00B1443E" w:rsidRPr="00B1443E" w14:paraId="373C1BE6" w14:textId="77777777" w:rsidTr="00620EAB">
        <w:tc>
          <w:tcPr>
            <w:tcW w:w="2268" w:type="dxa"/>
          </w:tcPr>
          <w:p w14:paraId="66EF223F" w14:textId="77777777" w:rsidR="00B1443E" w:rsidRPr="00B1443E" w:rsidRDefault="00B1443E" w:rsidP="0086658F">
            <w:pPr>
              <w:ind w:right="36"/>
              <w:rPr>
                <w:rFonts w:ascii="Verdana" w:hAnsi="Verdana"/>
              </w:rPr>
            </w:pPr>
            <w:r w:rsidRPr="00B1443E">
              <w:rPr>
                <w:rFonts w:ascii="Verdana" w:hAnsi="Verdana"/>
              </w:rPr>
              <w:t xml:space="preserve">Recoverability </w:t>
            </w:r>
          </w:p>
        </w:tc>
        <w:tc>
          <w:tcPr>
            <w:tcW w:w="1559" w:type="dxa"/>
            <w:shd w:val="clear" w:color="auto" w:fill="C5E0B3" w:themeFill="accent6" w:themeFillTint="66"/>
          </w:tcPr>
          <w:p w14:paraId="7F01BF9F" w14:textId="77777777" w:rsidR="00B1443E" w:rsidRPr="00B1443E" w:rsidRDefault="00B1443E" w:rsidP="0086658F">
            <w:pPr>
              <w:ind w:left="37"/>
              <w:rPr>
                <w:rFonts w:ascii="Verdana" w:hAnsi="Verdana"/>
              </w:rPr>
            </w:pPr>
            <w:r w:rsidRPr="00B1443E">
              <w:rPr>
                <w:rFonts w:ascii="Verdana" w:hAnsi="Verdana"/>
              </w:rPr>
              <w:t>Low (1)</w:t>
            </w:r>
          </w:p>
        </w:tc>
        <w:tc>
          <w:tcPr>
            <w:tcW w:w="2268" w:type="dxa"/>
            <w:shd w:val="clear" w:color="auto" w:fill="FFE599" w:themeFill="accent4" w:themeFillTint="66"/>
          </w:tcPr>
          <w:p w14:paraId="012136D1" w14:textId="77777777" w:rsidR="00B1443E" w:rsidRPr="00B1443E" w:rsidRDefault="00B1443E" w:rsidP="0086658F">
            <w:pPr>
              <w:ind w:left="37"/>
              <w:rPr>
                <w:rFonts w:ascii="Verdana" w:hAnsi="Verdana"/>
              </w:rPr>
            </w:pPr>
            <w:r w:rsidRPr="00B1443E">
              <w:rPr>
                <w:rFonts w:ascii="Verdana" w:hAnsi="Verdana"/>
              </w:rPr>
              <w:t>Medium (2)</w:t>
            </w:r>
          </w:p>
        </w:tc>
        <w:tc>
          <w:tcPr>
            <w:tcW w:w="2552" w:type="dxa"/>
            <w:shd w:val="clear" w:color="auto" w:fill="C00000"/>
          </w:tcPr>
          <w:p w14:paraId="7240B3BC" w14:textId="77777777" w:rsidR="00B1443E" w:rsidRPr="00B1443E" w:rsidRDefault="00B1443E" w:rsidP="0086658F">
            <w:pPr>
              <w:ind w:left="37"/>
              <w:rPr>
                <w:rFonts w:ascii="Verdana" w:hAnsi="Verdana"/>
              </w:rPr>
            </w:pPr>
            <w:r w:rsidRPr="00B1443E">
              <w:rPr>
                <w:rFonts w:ascii="Verdana" w:hAnsi="Verdana"/>
              </w:rPr>
              <w:t>High (3)</w:t>
            </w:r>
          </w:p>
        </w:tc>
      </w:tr>
    </w:tbl>
    <w:p w14:paraId="67D3BDBA" w14:textId="1585101D" w:rsidR="00CB3678" w:rsidRPr="00B1443E" w:rsidRDefault="00B1443E" w:rsidP="00B1443E">
      <w:pPr>
        <w:spacing w:before="240"/>
        <w:rPr>
          <w:rFonts w:ascii="Verdana" w:hAnsi="Verdana"/>
        </w:rPr>
      </w:pPr>
      <w:r w:rsidRPr="00B1443E">
        <w:rPr>
          <w:rFonts w:ascii="Verdana" w:hAnsi="Verdana"/>
        </w:rPr>
        <w:t>These represent the extent of the disruption the incident causes. You should incorporate the number of users affected and the duration of any disruption or reduction into these calculations. For example, when considering the impact level terms of the functions your service provides and the information you process, you should regard the impact level as high where the incident:</w:t>
      </w:r>
      <w:r w:rsidR="00CB3678">
        <w:rPr>
          <w:rFonts w:ascii="Verdana" w:hAnsi="Verdana"/>
        </w:rPr>
        <w:br/>
      </w:r>
    </w:p>
    <w:p w14:paraId="63B4DCE6" w14:textId="77777777" w:rsidR="00B1443E" w:rsidRPr="00CB3678" w:rsidRDefault="00B1443E" w:rsidP="00B1443E">
      <w:pPr>
        <w:pStyle w:val="ListParagraph"/>
        <w:numPr>
          <w:ilvl w:val="0"/>
          <w:numId w:val="15"/>
        </w:numPr>
        <w:spacing w:after="120"/>
        <w:ind w:left="714" w:hanging="357"/>
        <w:contextualSpacing w:val="0"/>
        <w:rPr>
          <w:rFonts w:ascii="Verdana" w:hAnsi="Verdana"/>
        </w:rPr>
      </w:pPr>
      <w:r w:rsidRPr="00B1443E">
        <w:rPr>
          <w:rFonts w:ascii="Verdana" w:hAnsi="Verdana"/>
        </w:rPr>
        <w:t xml:space="preserve">affects </w:t>
      </w:r>
      <w:r w:rsidRPr="00CB3678">
        <w:rPr>
          <w:rFonts w:ascii="Verdana" w:hAnsi="Verdana"/>
        </w:rPr>
        <w:t>[10%] or more of your users; and</w:t>
      </w:r>
    </w:p>
    <w:p w14:paraId="2C8B4064" w14:textId="10812246" w:rsidR="00B1443E" w:rsidRPr="00CB3678" w:rsidRDefault="00B1443E" w:rsidP="00B1443E">
      <w:pPr>
        <w:pStyle w:val="ListParagraph"/>
        <w:numPr>
          <w:ilvl w:val="0"/>
          <w:numId w:val="15"/>
        </w:numPr>
        <w:spacing w:after="240"/>
        <w:ind w:left="714" w:hanging="357"/>
        <w:contextualSpacing w:val="0"/>
        <w:rPr>
          <w:rFonts w:ascii="Verdana" w:hAnsi="Verdana"/>
        </w:rPr>
      </w:pPr>
      <w:proofErr w:type="gramStart"/>
      <w:r w:rsidRPr="00CB3678">
        <w:rPr>
          <w:rFonts w:ascii="Verdana" w:hAnsi="Verdana"/>
        </w:rPr>
        <w:t>results</w:t>
      </w:r>
      <w:proofErr w:type="gramEnd"/>
      <w:r w:rsidRPr="00CB3678">
        <w:rPr>
          <w:rFonts w:ascii="Verdana" w:hAnsi="Verdana"/>
        </w:rPr>
        <w:t xml:space="preserve"> in a reduction or disruption in functionality, or impact on information, for a significant period of time [(</w:t>
      </w:r>
      <w:proofErr w:type="spellStart"/>
      <w:r w:rsidRPr="00CB3678">
        <w:rPr>
          <w:rFonts w:ascii="Verdana" w:hAnsi="Verdana"/>
        </w:rPr>
        <w:t>eg</w:t>
      </w:r>
      <w:proofErr w:type="spellEnd"/>
      <w:r w:rsidRPr="00CB3678">
        <w:rPr>
          <w:rFonts w:ascii="Verdana" w:hAnsi="Verdana"/>
        </w:rPr>
        <w:t xml:space="preserve"> a duration of 60 minutes or more).] </w:t>
      </w:r>
    </w:p>
    <w:p w14:paraId="75321830" w14:textId="2CC7F69D" w:rsidR="00B1443E" w:rsidRDefault="00B1443E" w:rsidP="00B1443E">
      <w:pPr>
        <w:spacing w:before="240"/>
        <w:rPr>
          <w:rFonts w:ascii="Verdana" w:hAnsi="Verdana"/>
        </w:rPr>
      </w:pPr>
      <w:r w:rsidRPr="00B1443E">
        <w:rPr>
          <w:rFonts w:ascii="Verdana" w:hAnsi="Verdana"/>
        </w:rPr>
        <w:t xml:space="preserve">The ICO considers an incident is substantial when, after all criteria are considered, it meets or exceeds a threshold score of three. Therefore, any incident that has a high impact level in any category is automatically ‘substantial’ and requires notification. </w:t>
      </w:r>
    </w:p>
    <w:p w14:paraId="0E4CA2DB" w14:textId="77777777" w:rsidR="00CB3678" w:rsidRPr="00B1443E" w:rsidRDefault="00CB3678" w:rsidP="00B1443E">
      <w:pPr>
        <w:spacing w:before="240"/>
        <w:rPr>
          <w:rFonts w:ascii="Verdana" w:hAnsi="Verdana"/>
        </w:rPr>
      </w:pPr>
    </w:p>
    <w:p w14:paraId="1DD6DDCE" w14:textId="77777777" w:rsidR="00B1443E" w:rsidRPr="00B1443E" w:rsidRDefault="00B1443E" w:rsidP="00B1443E">
      <w:pPr>
        <w:pBdr>
          <w:top w:val="single" w:sz="4" w:space="1" w:color="auto"/>
          <w:left w:val="single" w:sz="4" w:space="4" w:color="auto"/>
          <w:bottom w:val="single" w:sz="4" w:space="1" w:color="auto"/>
          <w:right w:val="single" w:sz="4" w:space="4" w:color="auto"/>
        </w:pBdr>
        <w:rPr>
          <w:rFonts w:ascii="Verdana" w:hAnsi="Verdana"/>
          <w:b/>
          <w:bCs/>
        </w:rPr>
      </w:pPr>
      <w:r w:rsidRPr="00B1443E">
        <w:rPr>
          <w:rFonts w:ascii="Verdana" w:hAnsi="Verdana"/>
          <w:b/>
          <w:bCs/>
        </w:rPr>
        <w:t>Example: Notification required</w:t>
      </w:r>
    </w:p>
    <w:p w14:paraId="5707DEC2" w14:textId="77777777" w:rsidR="00B1443E" w:rsidRPr="00B1443E" w:rsidRDefault="00B1443E" w:rsidP="00B1443E">
      <w:pPr>
        <w:pBdr>
          <w:top w:val="single" w:sz="4" w:space="1" w:color="auto"/>
          <w:left w:val="single" w:sz="4" w:space="4" w:color="auto"/>
          <w:bottom w:val="single" w:sz="4" w:space="1" w:color="auto"/>
          <w:right w:val="single" w:sz="4" w:space="4" w:color="auto"/>
        </w:pBdr>
        <w:rPr>
          <w:rFonts w:ascii="Verdana" w:hAnsi="Verdana"/>
        </w:rPr>
      </w:pPr>
      <w:r w:rsidRPr="00B1443E">
        <w:rPr>
          <w:rFonts w:ascii="Verdana" w:hAnsi="Verdana"/>
        </w:rPr>
        <w:t>An RDSP assesses the impact of an incident using the above matrix. It judges that:</w:t>
      </w:r>
    </w:p>
    <w:p w14:paraId="63F997C9" w14:textId="77777777" w:rsidR="00B1443E" w:rsidRPr="00B1443E" w:rsidRDefault="00B1443E" w:rsidP="00B1443E">
      <w:pPr>
        <w:pStyle w:val="ListParagraph"/>
        <w:numPr>
          <w:ilvl w:val="0"/>
          <w:numId w:val="14"/>
        </w:numPr>
        <w:pBdr>
          <w:top w:val="single" w:sz="4" w:space="1" w:color="auto"/>
          <w:left w:val="single" w:sz="4" w:space="4" w:color="auto"/>
          <w:bottom w:val="single" w:sz="4" w:space="1" w:color="auto"/>
          <w:right w:val="single" w:sz="4" w:space="4" w:color="auto"/>
        </w:pBdr>
        <w:spacing w:after="120"/>
        <w:ind w:left="357" w:hanging="357"/>
        <w:contextualSpacing w:val="0"/>
        <w:rPr>
          <w:rFonts w:ascii="Verdana" w:hAnsi="Verdana"/>
        </w:rPr>
      </w:pPr>
      <w:r w:rsidRPr="00B1443E">
        <w:rPr>
          <w:rFonts w:ascii="Verdana" w:hAnsi="Verdana"/>
        </w:rPr>
        <w:lastRenderedPageBreak/>
        <w:t xml:space="preserve">the impact on functioning is high (3); </w:t>
      </w:r>
    </w:p>
    <w:p w14:paraId="7940D5A7" w14:textId="77777777" w:rsidR="00B1443E" w:rsidRPr="00B1443E" w:rsidRDefault="00B1443E" w:rsidP="00B1443E">
      <w:pPr>
        <w:pStyle w:val="ListParagraph"/>
        <w:numPr>
          <w:ilvl w:val="0"/>
          <w:numId w:val="14"/>
        </w:numPr>
        <w:pBdr>
          <w:top w:val="single" w:sz="4" w:space="1" w:color="auto"/>
          <w:left w:val="single" w:sz="4" w:space="4" w:color="auto"/>
          <w:bottom w:val="single" w:sz="4" w:space="1" w:color="auto"/>
          <w:right w:val="single" w:sz="4" w:space="4" w:color="auto"/>
        </w:pBdr>
        <w:spacing w:after="120"/>
        <w:ind w:left="357" w:hanging="357"/>
        <w:contextualSpacing w:val="0"/>
        <w:rPr>
          <w:rFonts w:ascii="Verdana" w:hAnsi="Verdana"/>
        </w:rPr>
      </w:pPr>
      <w:r w:rsidRPr="00B1443E">
        <w:rPr>
          <w:rFonts w:ascii="Verdana" w:hAnsi="Verdana"/>
        </w:rPr>
        <w:t xml:space="preserve">the impact on the information it stores, processes or transmits is low (1); and </w:t>
      </w:r>
    </w:p>
    <w:p w14:paraId="47516D7D" w14:textId="77777777" w:rsidR="00B1443E" w:rsidRPr="00B1443E" w:rsidRDefault="00B1443E" w:rsidP="00B1443E">
      <w:pPr>
        <w:pStyle w:val="ListParagraph"/>
        <w:numPr>
          <w:ilvl w:val="0"/>
          <w:numId w:val="14"/>
        </w:numPr>
        <w:pBdr>
          <w:top w:val="single" w:sz="4" w:space="1" w:color="auto"/>
          <w:left w:val="single" w:sz="4" w:space="4" w:color="auto"/>
          <w:bottom w:val="single" w:sz="4" w:space="1" w:color="auto"/>
          <w:right w:val="single" w:sz="4" w:space="4" w:color="auto"/>
        </w:pBdr>
        <w:spacing w:after="240"/>
        <w:ind w:left="357" w:hanging="357"/>
        <w:contextualSpacing w:val="0"/>
        <w:rPr>
          <w:rFonts w:ascii="Verdana" w:hAnsi="Verdana"/>
        </w:rPr>
      </w:pPr>
      <w:proofErr w:type="gramStart"/>
      <w:r w:rsidRPr="00B1443E">
        <w:rPr>
          <w:rFonts w:ascii="Verdana" w:hAnsi="Verdana"/>
        </w:rPr>
        <w:t>the</w:t>
      </w:r>
      <w:proofErr w:type="gramEnd"/>
      <w:r w:rsidRPr="00B1443E">
        <w:rPr>
          <w:rFonts w:ascii="Verdana" w:hAnsi="Verdana"/>
        </w:rPr>
        <w:t xml:space="preserve"> recovery requirement is low (1). </w:t>
      </w:r>
    </w:p>
    <w:p w14:paraId="19E23E23" w14:textId="77777777" w:rsidR="00B1443E" w:rsidRPr="00B1443E" w:rsidRDefault="00B1443E" w:rsidP="00B1443E">
      <w:pPr>
        <w:pBdr>
          <w:top w:val="single" w:sz="4" w:space="1" w:color="auto"/>
          <w:left w:val="single" w:sz="4" w:space="4" w:color="auto"/>
          <w:bottom w:val="single" w:sz="4" w:space="1" w:color="auto"/>
          <w:right w:val="single" w:sz="4" w:space="4" w:color="auto"/>
        </w:pBdr>
        <w:rPr>
          <w:rFonts w:ascii="Verdana" w:hAnsi="Verdana"/>
        </w:rPr>
      </w:pPr>
      <w:r w:rsidRPr="00B1443E">
        <w:rPr>
          <w:rFonts w:ascii="Verdana" w:hAnsi="Verdana"/>
        </w:rPr>
        <w:t>This results in a ‘score’ of 3, meaning the threshold is met and the impact is substantial. Notification is required.</w:t>
      </w:r>
    </w:p>
    <w:p w14:paraId="17768382" w14:textId="77777777" w:rsidR="00B1443E" w:rsidRPr="00B1443E" w:rsidRDefault="00B1443E" w:rsidP="00B1443E">
      <w:pPr>
        <w:rPr>
          <w:rFonts w:ascii="Verdana" w:hAnsi="Verdana"/>
        </w:rPr>
      </w:pPr>
    </w:p>
    <w:p w14:paraId="389FCDF2" w14:textId="77777777" w:rsidR="00B1443E" w:rsidRPr="00B1443E" w:rsidRDefault="00B1443E" w:rsidP="00B1443E">
      <w:pPr>
        <w:pBdr>
          <w:top w:val="single" w:sz="4" w:space="1" w:color="auto"/>
          <w:left w:val="single" w:sz="4" w:space="4" w:color="auto"/>
          <w:bottom w:val="single" w:sz="4" w:space="1" w:color="auto"/>
          <w:right w:val="single" w:sz="4" w:space="4" w:color="auto"/>
        </w:pBdr>
        <w:rPr>
          <w:rFonts w:ascii="Verdana" w:hAnsi="Verdana"/>
          <w:b/>
          <w:bCs/>
        </w:rPr>
      </w:pPr>
      <w:r w:rsidRPr="00B1443E">
        <w:rPr>
          <w:rFonts w:ascii="Verdana" w:hAnsi="Verdana"/>
          <w:b/>
          <w:bCs/>
        </w:rPr>
        <w:t>Example: Notification not required</w:t>
      </w:r>
    </w:p>
    <w:p w14:paraId="65AC8DD6" w14:textId="77777777" w:rsidR="00B1443E" w:rsidRPr="00B1443E" w:rsidRDefault="00B1443E" w:rsidP="00B1443E">
      <w:pPr>
        <w:pBdr>
          <w:top w:val="single" w:sz="4" w:space="1" w:color="auto"/>
          <w:left w:val="single" w:sz="4" w:space="4" w:color="auto"/>
          <w:bottom w:val="single" w:sz="4" w:space="1" w:color="auto"/>
          <w:right w:val="single" w:sz="4" w:space="4" w:color="auto"/>
        </w:pBdr>
        <w:rPr>
          <w:rFonts w:ascii="Verdana" w:hAnsi="Verdana"/>
        </w:rPr>
      </w:pPr>
      <w:r w:rsidRPr="00B1443E">
        <w:rPr>
          <w:rFonts w:ascii="Verdana" w:hAnsi="Verdana"/>
        </w:rPr>
        <w:t>An RDSP assesses the impact of an incident using the above matrix. It judges that:</w:t>
      </w:r>
    </w:p>
    <w:p w14:paraId="27CA2B2D" w14:textId="77777777" w:rsidR="00B1443E" w:rsidRPr="00B1443E" w:rsidRDefault="00B1443E" w:rsidP="00B1443E">
      <w:pPr>
        <w:pStyle w:val="ListParagraph"/>
        <w:numPr>
          <w:ilvl w:val="0"/>
          <w:numId w:val="14"/>
        </w:numPr>
        <w:pBdr>
          <w:top w:val="single" w:sz="4" w:space="1" w:color="auto"/>
          <w:left w:val="single" w:sz="4" w:space="4" w:color="auto"/>
          <w:bottom w:val="single" w:sz="4" w:space="1" w:color="auto"/>
          <w:right w:val="single" w:sz="4" w:space="4" w:color="auto"/>
        </w:pBdr>
        <w:spacing w:after="120"/>
        <w:ind w:left="357" w:hanging="357"/>
        <w:contextualSpacing w:val="0"/>
        <w:rPr>
          <w:rFonts w:ascii="Verdana" w:hAnsi="Verdana"/>
        </w:rPr>
      </w:pPr>
      <w:r w:rsidRPr="00B1443E">
        <w:rPr>
          <w:rFonts w:ascii="Verdana" w:hAnsi="Verdana"/>
        </w:rPr>
        <w:t>the impact on functioning is low (1);</w:t>
      </w:r>
    </w:p>
    <w:p w14:paraId="11E72E6C" w14:textId="77777777" w:rsidR="00B1443E" w:rsidRPr="00B1443E" w:rsidRDefault="00B1443E" w:rsidP="00B1443E">
      <w:pPr>
        <w:pStyle w:val="ListParagraph"/>
        <w:numPr>
          <w:ilvl w:val="0"/>
          <w:numId w:val="14"/>
        </w:numPr>
        <w:pBdr>
          <w:top w:val="single" w:sz="4" w:space="1" w:color="auto"/>
          <w:left w:val="single" w:sz="4" w:space="4" w:color="auto"/>
          <w:bottom w:val="single" w:sz="4" w:space="1" w:color="auto"/>
          <w:right w:val="single" w:sz="4" w:space="4" w:color="auto"/>
        </w:pBdr>
        <w:spacing w:after="120"/>
        <w:ind w:left="357" w:hanging="357"/>
        <w:contextualSpacing w:val="0"/>
        <w:rPr>
          <w:rFonts w:ascii="Verdana" w:hAnsi="Verdana"/>
        </w:rPr>
      </w:pPr>
      <w:r w:rsidRPr="00B1443E">
        <w:rPr>
          <w:rFonts w:ascii="Verdana" w:hAnsi="Verdana"/>
        </w:rPr>
        <w:t>the impact on information is medium (2); and</w:t>
      </w:r>
    </w:p>
    <w:p w14:paraId="6CECAD3D" w14:textId="77777777" w:rsidR="00B1443E" w:rsidRPr="00B1443E" w:rsidRDefault="00B1443E" w:rsidP="00B1443E">
      <w:pPr>
        <w:pStyle w:val="ListParagraph"/>
        <w:numPr>
          <w:ilvl w:val="0"/>
          <w:numId w:val="14"/>
        </w:numPr>
        <w:pBdr>
          <w:top w:val="single" w:sz="4" w:space="1" w:color="auto"/>
          <w:left w:val="single" w:sz="4" w:space="4" w:color="auto"/>
          <w:bottom w:val="single" w:sz="4" w:space="1" w:color="auto"/>
          <w:right w:val="single" w:sz="4" w:space="4" w:color="auto"/>
        </w:pBdr>
        <w:spacing w:after="240"/>
        <w:ind w:left="357" w:hanging="357"/>
        <w:contextualSpacing w:val="0"/>
        <w:rPr>
          <w:rFonts w:ascii="Verdana" w:hAnsi="Verdana"/>
        </w:rPr>
      </w:pPr>
      <w:proofErr w:type="gramStart"/>
      <w:r w:rsidRPr="00B1443E">
        <w:rPr>
          <w:rFonts w:ascii="Verdana" w:hAnsi="Verdana"/>
        </w:rPr>
        <w:t>the</w:t>
      </w:r>
      <w:proofErr w:type="gramEnd"/>
      <w:r w:rsidRPr="00B1443E">
        <w:rPr>
          <w:rFonts w:ascii="Verdana" w:hAnsi="Verdana"/>
        </w:rPr>
        <w:t xml:space="preserve"> impact on recovery is low (1).</w:t>
      </w:r>
    </w:p>
    <w:p w14:paraId="4EBEEC5A" w14:textId="77777777" w:rsidR="00B1443E" w:rsidRPr="00B1443E" w:rsidRDefault="00B1443E" w:rsidP="00B1443E">
      <w:pPr>
        <w:pBdr>
          <w:top w:val="single" w:sz="4" w:space="1" w:color="auto"/>
          <w:left w:val="single" w:sz="4" w:space="4" w:color="auto"/>
          <w:bottom w:val="single" w:sz="4" w:space="1" w:color="auto"/>
          <w:right w:val="single" w:sz="4" w:space="4" w:color="auto"/>
        </w:pBdr>
        <w:rPr>
          <w:rFonts w:ascii="Verdana" w:hAnsi="Verdana"/>
        </w:rPr>
      </w:pPr>
      <w:r w:rsidRPr="00B1443E">
        <w:rPr>
          <w:rFonts w:ascii="Verdana" w:hAnsi="Verdana"/>
        </w:rPr>
        <w:t>The threshold score is not met, and therefore the impact is not substantial and notification is not required.</w:t>
      </w:r>
    </w:p>
    <w:p w14:paraId="49CC48B3" w14:textId="77777777" w:rsidR="00B1443E" w:rsidRDefault="00B1443E" w:rsidP="00B1443E">
      <w:pPr>
        <w:spacing w:after="160"/>
        <w:rPr>
          <w:rFonts w:ascii="Verdana" w:hAnsi="Verdana"/>
        </w:rPr>
      </w:pPr>
    </w:p>
    <w:p w14:paraId="0D7E27D1" w14:textId="1315E3AE" w:rsidR="00B1443E" w:rsidRPr="00B1443E" w:rsidRDefault="00B1443E" w:rsidP="00B1443E">
      <w:pPr>
        <w:spacing w:after="160"/>
        <w:rPr>
          <w:rFonts w:ascii="Verdana" w:hAnsi="Verdana"/>
        </w:rPr>
      </w:pPr>
      <w:r w:rsidRPr="00B1443E">
        <w:rPr>
          <w:rFonts w:ascii="Verdana" w:hAnsi="Verdana"/>
        </w:rPr>
        <w:t xml:space="preserve">In cases where notification is not required, you should retain relevant documentation about the incident itself and the decisions you took in relation to it. </w:t>
      </w:r>
    </w:p>
    <w:p w14:paraId="3BCA3EB7" w14:textId="47109E47" w:rsidR="00B1443E" w:rsidRDefault="00B1443E" w:rsidP="00B1443E">
      <w:pPr>
        <w:rPr>
          <w:rFonts w:ascii="Verdana" w:hAnsi="Verdana"/>
        </w:rPr>
      </w:pPr>
      <w:r w:rsidRPr="00B1443E">
        <w:rPr>
          <w:rFonts w:ascii="Verdana" w:hAnsi="Verdana"/>
        </w:rPr>
        <w:t>It is important to understand that if the NIS incident results in a personal data breach, the above factors and thresholds do not apply. Essentially, the incident may not meet any of the thresholds above, but if personal data was compromised, you need to assess whether this could result in a risk to the rights and freedoms of individuals.</w:t>
      </w:r>
    </w:p>
    <w:p w14:paraId="6394D864" w14:textId="77777777" w:rsidR="00D634E7" w:rsidRPr="00B1443E" w:rsidRDefault="00D634E7" w:rsidP="00B1443E">
      <w:pPr>
        <w:rPr>
          <w:rFonts w:ascii="Verdana" w:hAnsi="Verdana"/>
        </w:rPr>
      </w:pPr>
    </w:p>
    <w:p w14:paraId="439D742D" w14:textId="4FBF7A1D" w:rsidR="0026769F" w:rsidRPr="001510BA" w:rsidRDefault="00B1443E" w:rsidP="0026769F">
      <w:pPr>
        <w:rPr>
          <w:rFonts w:ascii="Verdana" w:hAnsi="Verdana"/>
        </w:rPr>
      </w:pPr>
      <w:r w:rsidRPr="00B1443E">
        <w:rPr>
          <w:rFonts w:ascii="Verdana" w:hAnsi="Verdana"/>
        </w:rPr>
        <w:t>If that is the case you are required to notify the ICO of a personal data breach, even if you may not have to tell us about the NIS incident.</w:t>
      </w:r>
    </w:p>
    <w:sectPr w:rsidR="0026769F" w:rsidRPr="001510BA">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3B9139" w14:textId="77777777" w:rsidR="00706152" w:rsidRDefault="00706152" w:rsidP="001A683E">
      <w:r>
        <w:separator/>
      </w:r>
    </w:p>
  </w:endnote>
  <w:endnote w:type="continuationSeparator" w:id="0">
    <w:p w14:paraId="31CCD45D" w14:textId="77777777" w:rsidR="00706152" w:rsidRDefault="00706152" w:rsidP="001A6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51B228" w14:textId="77777777" w:rsidR="00706152" w:rsidRDefault="00706152" w:rsidP="001A683E">
      <w:r>
        <w:separator/>
      </w:r>
    </w:p>
  </w:footnote>
  <w:footnote w:type="continuationSeparator" w:id="0">
    <w:p w14:paraId="0F02E5AC" w14:textId="77777777" w:rsidR="00706152" w:rsidRDefault="00706152" w:rsidP="001A68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CD6B1" w14:textId="0495DEB0" w:rsidR="001A683E" w:rsidRDefault="001A683E" w:rsidP="001A683E">
    <w:pPr>
      <w:pStyle w:val="Header"/>
      <w:jc w:val="right"/>
    </w:pPr>
    <w:r>
      <w:rPr>
        <w:noProof/>
      </w:rPr>
      <w:drawing>
        <wp:inline distT="0" distB="0" distL="0" distR="0" wp14:anchorId="079D7160" wp14:editId="36D08BDF">
          <wp:extent cx="1005840" cy="591185"/>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591185"/>
                  </a:xfrm>
                  <a:prstGeom prst="rect">
                    <a:avLst/>
                  </a:prstGeom>
                  <a:noFill/>
                </pic:spPr>
              </pic:pic>
            </a:graphicData>
          </a:graphic>
        </wp:inline>
      </w:drawing>
    </w:r>
  </w:p>
  <w:p w14:paraId="048CC315" w14:textId="49136DE5" w:rsidR="001A683E" w:rsidRDefault="001A683E" w:rsidP="001A683E">
    <w:pPr>
      <w:pStyle w:val="Header"/>
      <w:jc w:val="right"/>
    </w:pPr>
  </w:p>
  <w:p w14:paraId="096BC143" w14:textId="77777777" w:rsidR="001A683E" w:rsidRDefault="001A683E" w:rsidP="00620EA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C72E8"/>
    <w:multiLevelType w:val="hybridMultilevel"/>
    <w:tmpl w:val="E13AED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9B937A4"/>
    <w:multiLevelType w:val="multilevel"/>
    <w:tmpl w:val="A16C5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A5A4A01"/>
    <w:multiLevelType w:val="hybridMultilevel"/>
    <w:tmpl w:val="1CBA7EA4"/>
    <w:lvl w:ilvl="0" w:tplc="F3802E02">
      <w:start w:val="1"/>
      <w:numFmt w:val="lowerRoman"/>
      <w:lvlText w:val="%1)"/>
      <w:lvlJc w:val="left"/>
      <w:pPr>
        <w:ind w:left="720" w:hanging="360"/>
      </w:pPr>
      <w:rPr>
        <w:rFonts w:ascii="Verdana" w:eastAsiaTheme="minorHAnsi" w:hAnsi="Verdana" w:cstheme="minorBid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BD6498B"/>
    <w:multiLevelType w:val="hybridMultilevel"/>
    <w:tmpl w:val="3768F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E46062"/>
    <w:multiLevelType w:val="hybridMultilevel"/>
    <w:tmpl w:val="7E16AB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C804C6D"/>
    <w:multiLevelType w:val="hybridMultilevel"/>
    <w:tmpl w:val="F7C4B54A"/>
    <w:lvl w:ilvl="0" w:tplc="5A3E7BC0">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6">
    <w:nsid w:val="172F176E"/>
    <w:multiLevelType w:val="hybridMultilevel"/>
    <w:tmpl w:val="4F2489E0"/>
    <w:lvl w:ilvl="0" w:tplc="0638F3B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D351FE6"/>
    <w:multiLevelType w:val="hybridMultilevel"/>
    <w:tmpl w:val="CB4EF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BF76908"/>
    <w:multiLevelType w:val="hybridMultilevel"/>
    <w:tmpl w:val="B0EE3A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FBA46AB"/>
    <w:multiLevelType w:val="hybridMultilevel"/>
    <w:tmpl w:val="BEA42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72449BB"/>
    <w:multiLevelType w:val="hybridMultilevel"/>
    <w:tmpl w:val="7EC0F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3A16B5D"/>
    <w:multiLevelType w:val="hybridMultilevel"/>
    <w:tmpl w:val="E8D006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88C09FB"/>
    <w:multiLevelType w:val="hybridMultilevel"/>
    <w:tmpl w:val="04B27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A8F04B4"/>
    <w:multiLevelType w:val="hybridMultilevel"/>
    <w:tmpl w:val="7E16AB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CD006E0"/>
    <w:multiLevelType w:val="hybridMultilevel"/>
    <w:tmpl w:val="D4FEA46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3"/>
  </w:num>
  <w:num w:numId="2">
    <w:abstractNumId w:val="9"/>
  </w:num>
  <w:num w:numId="3">
    <w:abstractNumId w:val="6"/>
  </w:num>
  <w:num w:numId="4">
    <w:abstractNumId w:val="4"/>
  </w:num>
  <w:num w:numId="5">
    <w:abstractNumId w:val="7"/>
  </w:num>
  <w:num w:numId="6">
    <w:abstractNumId w:val="14"/>
  </w:num>
  <w:num w:numId="7">
    <w:abstractNumId w:val="2"/>
    <w:lvlOverride w:ilvl="0">
      <w:startOverride w:val="1"/>
    </w:lvlOverride>
    <w:lvlOverride w:ilvl="1"/>
    <w:lvlOverride w:ilvl="2"/>
    <w:lvlOverride w:ilvl="3"/>
    <w:lvlOverride w:ilvl="4"/>
    <w:lvlOverride w:ilvl="5"/>
    <w:lvlOverride w:ilvl="6"/>
    <w:lvlOverride w:ilvl="7"/>
    <w:lvlOverride w:ilvl="8"/>
  </w:num>
  <w:num w:numId="8">
    <w:abstractNumId w:val="13"/>
  </w:num>
  <w:num w:numId="9">
    <w:abstractNumId w:val="8"/>
  </w:num>
  <w:num w:numId="10">
    <w:abstractNumId w:val="11"/>
  </w:num>
  <w:num w:numId="11">
    <w:abstractNumId w:val="5"/>
  </w:num>
  <w:num w:numId="12">
    <w:abstractNumId w:val="0"/>
  </w:num>
  <w:num w:numId="13">
    <w:abstractNumId w:val="1"/>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B95"/>
    <w:rsid w:val="00007F05"/>
    <w:rsid w:val="0002528B"/>
    <w:rsid w:val="000311ED"/>
    <w:rsid w:val="00035469"/>
    <w:rsid w:val="0005285C"/>
    <w:rsid w:val="00071A80"/>
    <w:rsid w:val="0007443E"/>
    <w:rsid w:val="00091ADD"/>
    <w:rsid w:val="000972A6"/>
    <w:rsid w:val="00097AAD"/>
    <w:rsid w:val="000A035F"/>
    <w:rsid w:val="000A39D3"/>
    <w:rsid w:val="000C69B8"/>
    <w:rsid w:val="000C6D09"/>
    <w:rsid w:val="000D6A4B"/>
    <w:rsid w:val="000E28F8"/>
    <w:rsid w:val="000E31F9"/>
    <w:rsid w:val="00100229"/>
    <w:rsid w:val="00106BBE"/>
    <w:rsid w:val="00122B3B"/>
    <w:rsid w:val="001510BA"/>
    <w:rsid w:val="00155012"/>
    <w:rsid w:val="00157B2D"/>
    <w:rsid w:val="001622AE"/>
    <w:rsid w:val="00194617"/>
    <w:rsid w:val="00196B6B"/>
    <w:rsid w:val="001A683E"/>
    <w:rsid w:val="001B2746"/>
    <w:rsid w:val="001B7BE9"/>
    <w:rsid w:val="001C0DE5"/>
    <w:rsid w:val="001E0CC4"/>
    <w:rsid w:val="001E18DD"/>
    <w:rsid w:val="001F3BDE"/>
    <w:rsid w:val="002003A4"/>
    <w:rsid w:val="00216379"/>
    <w:rsid w:val="002243BB"/>
    <w:rsid w:val="00226303"/>
    <w:rsid w:val="0026769F"/>
    <w:rsid w:val="00274D72"/>
    <w:rsid w:val="00281798"/>
    <w:rsid w:val="00284B9B"/>
    <w:rsid w:val="002922FA"/>
    <w:rsid w:val="002A343A"/>
    <w:rsid w:val="002A5F61"/>
    <w:rsid w:val="002D5387"/>
    <w:rsid w:val="002E0C76"/>
    <w:rsid w:val="00315241"/>
    <w:rsid w:val="00315B35"/>
    <w:rsid w:val="00330D52"/>
    <w:rsid w:val="00340262"/>
    <w:rsid w:val="00346F2A"/>
    <w:rsid w:val="00393252"/>
    <w:rsid w:val="003A64D7"/>
    <w:rsid w:val="003B4250"/>
    <w:rsid w:val="003C2635"/>
    <w:rsid w:val="003C6D68"/>
    <w:rsid w:val="003E746D"/>
    <w:rsid w:val="00400B11"/>
    <w:rsid w:val="00402D80"/>
    <w:rsid w:val="00413E40"/>
    <w:rsid w:val="00413FD8"/>
    <w:rsid w:val="0048232D"/>
    <w:rsid w:val="004F24FF"/>
    <w:rsid w:val="00515504"/>
    <w:rsid w:val="005D05D1"/>
    <w:rsid w:val="0060352C"/>
    <w:rsid w:val="00610892"/>
    <w:rsid w:val="00620EAB"/>
    <w:rsid w:val="00634B15"/>
    <w:rsid w:val="0066489B"/>
    <w:rsid w:val="00706152"/>
    <w:rsid w:val="00726BDF"/>
    <w:rsid w:val="00744EFC"/>
    <w:rsid w:val="00750D3B"/>
    <w:rsid w:val="007554F7"/>
    <w:rsid w:val="00775C41"/>
    <w:rsid w:val="007A694C"/>
    <w:rsid w:val="007A7859"/>
    <w:rsid w:val="007B11F6"/>
    <w:rsid w:val="007B5FA1"/>
    <w:rsid w:val="007D7541"/>
    <w:rsid w:val="008131C8"/>
    <w:rsid w:val="00821594"/>
    <w:rsid w:val="008251E9"/>
    <w:rsid w:val="00830C4B"/>
    <w:rsid w:val="00844355"/>
    <w:rsid w:val="008A18DB"/>
    <w:rsid w:val="008F039E"/>
    <w:rsid w:val="00940B24"/>
    <w:rsid w:val="009637AE"/>
    <w:rsid w:val="009719C3"/>
    <w:rsid w:val="00976B67"/>
    <w:rsid w:val="0098491B"/>
    <w:rsid w:val="009A2701"/>
    <w:rsid w:val="009B7062"/>
    <w:rsid w:val="009E300A"/>
    <w:rsid w:val="00A01462"/>
    <w:rsid w:val="00A21185"/>
    <w:rsid w:val="00A26123"/>
    <w:rsid w:val="00A33472"/>
    <w:rsid w:val="00A65271"/>
    <w:rsid w:val="00A8479D"/>
    <w:rsid w:val="00A866F4"/>
    <w:rsid w:val="00A95712"/>
    <w:rsid w:val="00AA0AA9"/>
    <w:rsid w:val="00AA58A1"/>
    <w:rsid w:val="00AA715B"/>
    <w:rsid w:val="00AC3F01"/>
    <w:rsid w:val="00AD454D"/>
    <w:rsid w:val="00AF4F67"/>
    <w:rsid w:val="00AF555B"/>
    <w:rsid w:val="00B11D5E"/>
    <w:rsid w:val="00B1443E"/>
    <w:rsid w:val="00B16790"/>
    <w:rsid w:val="00B2062F"/>
    <w:rsid w:val="00B34BC0"/>
    <w:rsid w:val="00B43A1C"/>
    <w:rsid w:val="00B43C49"/>
    <w:rsid w:val="00B62A98"/>
    <w:rsid w:val="00B71ECF"/>
    <w:rsid w:val="00B91422"/>
    <w:rsid w:val="00BC3C21"/>
    <w:rsid w:val="00C02B95"/>
    <w:rsid w:val="00C2218C"/>
    <w:rsid w:val="00C23F5B"/>
    <w:rsid w:val="00C8428E"/>
    <w:rsid w:val="00C875E8"/>
    <w:rsid w:val="00CA6691"/>
    <w:rsid w:val="00CB2100"/>
    <w:rsid w:val="00CB3678"/>
    <w:rsid w:val="00CF53D9"/>
    <w:rsid w:val="00D00DCF"/>
    <w:rsid w:val="00D07AFF"/>
    <w:rsid w:val="00D1762C"/>
    <w:rsid w:val="00D24BDD"/>
    <w:rsid w:val="00D454DF"/>
    <w:rsid w:val="00D4703D"/>
    <w:rsid w:val="00D634E7"/>
    <w:rsid w:val="00D872AF"/>
    <w:rsid w:val="00DA2961"/>
    <w:rsid w:val="00DB5EE8"/>
    <w:rsid w:val="00DD7115"/>
    <w:rsid w:val="00DE035C"/>
    <w:rsid w:val="00DF6F52"/>
    <w:rsid w:val="00E14A91"/>
    <w:rsid w:val="00E327A1"/>
    <w:rsid w:val="00E47330"/>
    <w:rsid w:val="00E53AC4"/>
    <w:rsid w:val="00E55F20"/>
    <w:rsid w:val="00E606F5"/>
    <w:rsid w:val="00E851F8"/>
    <w:rsid w:val="00E94E6A"/>
    <w:rsid w:val="00EC1CD8"/>
    <w:rsid w:val="00EF6623"/>
    <w:rsid w:val="00F24BD8"/>
    <w:rsid w:val="00F31AAE"/>
    <w:rsid w:val="00F552FE"/>
    <w:rsid w:val="00F70AAC"/>
    <w:rsid w:val="00F72F19"/>
    <w:rsid w:val="00F816FF"/>
    <w:rsid w:val="00F84738"/>
    <w:rsid w:val="00FA5D22"/>
    <w:rsid w:val="00FD27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B6B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B95"/>
    <w:pPr>
      <w:spacing w:after="0" w:line="240" w:lineRule="auto"/>
    </w:pPr>
    <w:rPr>
      <w:rFonts w:ascii="Arial" w:eastAsia="Times New Roman" w:hAnsi="Arial" w:cs="Arial"/>
      <w:sz w:val="24"/>
      <w:szCs w:val="24"/>
      <w:lang w:eastAsia="en-GB"/>
    </w:rPr>
  </w:style>
  <w:style w:type="paragraph" w:styleId="Heading3">
    <w:name w:val="heading 3"/>
    <w:basedOn w:val="Normal"/>
    <w:next w:val="Normal"/>
    <w:link w:val="Heading3Char"/>
    <w:uiPriority w:val="9"/>
    <w:unhideWhenUsed/>
    <w:qFormat/>
    <w:rsid w:val="001E0CC4"/>
    <w:pPr>
      <w:keepNext/>
      <w:keepLines/>
      <w:spacing w:before="240" w:after="240"/>
      <w:outlineLvl w:val="2"/>
    </w:pPr>
    <w:rPr>
      <w:rFonts w:ascii="Verdana" w:eastAsiaTheme="majorEastAsia" w:hAnsi="Verdana" w:cstheme="majorBidi"/>
      <w:b/>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2B95"/>
    <w:rPr>
      <w:color w:val="0563C1" w:themeColor="hyperlink"/>
      <w:u w:val="single"/>
    </w:rPr>
  </w:style>
  <w:style w:type="paragraph" w:customStyle="1" w:styleId="paragraph">
    <w:name w:val="paragraph"/>
    <w:basedOn w:val="Normal"/>
    <w:rsid w:val="00C02B95"/>
    <w:pPr>
      <w:spacing w:before="100" w:beforeAutospacing="1" w:after="100" w:afterAutospacing="1"/>
    </w:pPr>
    <w:rPr>
      <w:rFonts w:ascii="Times New Roman" w:hAnsi="Times New Roman" w:cs="Times New Roman"/>
    </w:rPr>
  </w:style>
  <w:style w:type="character" w:customStyle="1" w:styleId="normaltextrun">
    <w:name w:val="normaltextrun"/>
    <w:basedOn w:val="DefaultParagraphFont"/>
    <w:rsid w:val="00C02B95"/>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L"/>
    <w:basedOn w:val="Normal"/>
    <w:link w:val="ListParagraphChar"/>
    <w:uiPriority w:val="34"/>
    <w:qFormat/>
    <w:rsid w:val="00C02B95"/>
    <w:pPr>
      <w:ind w:left="720"/>
      <w:contextualSpacing/>
    </w:pPr>
  </w:style>
  <w:style w:type="paragraph" w:customStyle="1" w:styleId="legclearfix">
    <w:name w:val="legclearfix"/>
    <w:basedOn w:val="Normal"/>
    <w:rsid w:val="00830C4B"/>
    <w:pPr>
      <w:spacing w:before="100" w:beforeAutospacing="1" w:after="100" w:afterAutospacing="1"/>
    </w:pPr>
    <w:rPr>
      <w:rFonts w:ascii="Times New Roman" w:hAnsi="Times New Roman" w:cs="Times New Roman"/>
    </w:rPr>
  </w:style>
  <w:style w:type="character" w:customStyle="1" w:styleId="legds">
    <w:name w:val="legds"/>
    <w:basedOn w:val="DefaultParagraphFont"/>
    <w:rsid w:val="00830C4B"/>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L Char"/>
    <w:basedOn w:val="DefaultParagraphFont"/>
    <w:link w:val="ListParagraph"/>
    <w:uiPriority w:val="34"/>
    <w:locked/>
    <w:rsid w:val="00340262"/>
    <w:rPr>
      <w:rFonts w:ascii="Arial" w:eastAsia="Times New Roman" w:hAnsi="Arial" w:cs="Arial"/>
      <w:sz w:val="24"/>
      <w:szCs w:val="24"/>
      <w:lang w:eastAsia="en-GB"/>
    </w:rPr>
  </w:style>
  <w:style w:type="table" w:styleId="TableGrid">
    <w:name w:val="Table Grid"/>
    <w:basedOn w:val="TableNormal"/>
    <w:uiPriority w:val="39"/>
    <w:rsid w:val="003A6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E0CC4"/>
    <w:rPr>
      <w:rFonts w:ascii="Verdana" w:eastAsiaTheme="majorEastAsia" w:hAnsi="Verdana" w:cstheme="majorBidi"/>
      <w:b/>
      <w:szCs w:val="24"/>
    </w:rPr>
  </w:style>
  <w:style w:type="paragraph" w:styleId="Subtitle">
    <w:name w:val="Subtitle"/>
    <w:basedOn w:val="Normal"/>
    <w:next w:val="Normal"/>
    <w:link w:val="SubtitleChar"/>
    <w:uiPriority w:val="11"/>
    <w:qFormat/>
    <w:rsid w:val="001E0CC4"/>
    <w:pPr>
      <w:numPr>
        <w:ilvl w:val="1"/>
      </w:numPr>
      <w:spacing w:before="360" w:after="240"/>
    </w:pPr>
    <w:rPr>
      <w:rFonts w:ascii="Georgia" w:eastAsiaTheme="minorEastAsia" w:hAnsi="Georgia" w:cstheme="minorBidi"/>
      <w:sz w:val="32"/>
      <w:szCs w:val="22"/>
      <w:lang w:eastAsia="en-US"/>
    </w:rPr>
  </w:style>
  <w:style w:type="character" w:customStyle="1" w:styleId="SubtitleChar">
    <w:name w:val="Subtitle Char"/>
    <w:basedOn w:val="DefaultParagraphFont"/>
    <w:link w:val="Subtitle"/>
    <w:uiPriority w:val="11"/>
    <w:rsid w:val="001E0CC4"/>
    <w:rPr>
      <w:rFonts w:ascii="Georgia" w:eastAsiaTheme="minorEastAsia" w:hAnsi="Georgia"/>
      <w:sz w:val="32"/>
    </w:rPr>
  </w:style>
  <w:style w:type="paragraph" w:styleId="NormalWeb">
    <w:name w:val="Normal (Web)"/>
    <w:basedOn w:val="Normal"/>
    <w:uiPriority w:val="99"/>
    <w:unhideWhenUsed/>
    <w:rsid w:val="001E0CC4"/>
    <w:pPr>
      <w:spacing w:before="100" w:beforeAutospacing="1" w:after="100" w:afterAutospacing="1"/>
    </w:pPr>
    <w:rPr>
      <w:rFonts w:ascii="Times New Roman" w:hAnsi="Times New Roman" w:cs="Times New Roman"/>
    </w:rPr>
  </w:style>
  <w:style w:type="character" w:styleId="CommentReference">
    <w:name w:val="annotation reference"/>
    <w:basedOn w:val="DefaultParagraphFont"/>
    <w:uiPriority w:val="99"/>
    <w:semiHidden/>
    <w:unhideWhenUsed/>
    <w:rsid w:val="007A694C"/>
    <w:rPr>
      <w:sz w:val="16"/>
      <w:szCs w:val="16"/>
    </w:rPr>
  </w:style>
  <w:style w:type="paragraph" w:styleId="CommentText">
    <w:name w:val="annotation text"/>
    <w:basedOn w:val="Normal"/>
    <w:link w:val="CommentTextChar"/>
    <w:uiPriority w:val="99"/>
    <w:semiHidden/>
    <w:unhideWhenUsed/>
    <w:rsid w:val="007A694C"/>
    <w:rPr>
      <w:sz w:val="20"/>
      <w:szCs w:val="20"/>
    </w:rPr>
  </w:style>
  <w:style w:type="character" w:customStyle="1" w:styleId="CommentTextChar">
    <w:name w:val="Comment Text Char"/>
    <w:basedOn w:val="DefaultParagraphFont"/>
    <w:link w:val="CommentText"/>
    <w:uiPriority w:val="99"/>
    <w:semiHidden/>
    <w:rsid w:val="007A694C"/>
    <w:rPr>
      <w:rFonts w:ascii="Arial" w:eastAsia="Times New Roman"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7A694C"/>
    <w:rPr>
      <w:b/>
      <w:bCs/>
    </w:rPr>
  </w:style>
  <w:style w:type="character" w:customStyle="1" w:styleId="CommentSubjectChar">
    <w:name w:val="Comment Subject Char"/>
    <w:basedOn w:val="CommentTextChar"/>
    <w:link w:val="CommentSubject"/>
    <w:uiPriority w:val="99"/>
    <w:semiHidden/>
    <w:rsid w:val="007A694C"/>
    <w:rPr>
      <w:rFonts w:ascii="Arial" w:eastAsia="Times New Roman" w:hAnsi="Arial" w:cs="Arial"/>
      <w:b/>
      <w:bCs/>
      <w:sz w:val="20"/>
      <w:szCs w:val="20"/>
      <w:lang w:eastAsia="en-GB"/>
    </w:rPr>
  </w:style>
  <w:style w:type="paragraph" w:styleId="Header">
    <w:name w:val="header"/>
    <w:basedOn w:val="Normal"/>
    <w:link w:val="HeaderChar"/>
    <w:uiPriority w:val="99"/>
    <w:unhideWhenUsed/>
    <w:rsid w:val="001A683E"/>
    <w:pPr>
      <w:tabs>
        <w:tab w:val="center" w:pos="4513"/>
        <w:tab w:val="right" w:pos="9026"/>
      </w:tabs>
    </w:pPr>
  </w:style>
  <w:style w:type="character" w:customStyle="1" w:styleId="HeaderChar">
    <w:name w:val="Header Char"/>
    <w:basedOn w:val="DefaultParagraphFont"/>
    <w:link w:val="Header"/>
    <w:uiPriority w:val="99"/>
    <w:rsid w:val="001A683E"/>
    <w:rPr>
      <w:rFonts w:ascii="Arial" w:eastAsia="Times New Roman" w:hAnsi="Arial" w:cs="Arial"/>
      <w:sz w:val="24"/>
      <w:szCs w:val="24"/>
      <w:lang w:eastAsia="en-GB"/>
    </w:rPr>
  </w:style>
  <w:style w:type="paragraph" w:styleId="Footer">
    <w:name w:val="footer"/>
    <w:basedOn w:val="Normal"/>
    <w:link w:val="FooterChar"/>
    <w:uiPriority w:val="99"/>
    <w:unhideWhenUsed/>
    <w:rsid w:val="001A683E"/>
    <w:pPr>
      <w:tabs>
        <w:tab w:val="center" w:pos="4513"/>
        <w:tab w:val="right" w:pos="9026"/>
      </w:tabs>
    </w:pPr>
  </w:style>
  <w:style w:type="character" w:customStyle="1" w:styleId="FooterChar">
    <w:name w:val="Footer Char"/>
    <w:basedOn w:val="DefaultParagraphFont"/>
    <w:link w:val="Footer"/>
    <w:uiPriority w:val="99"/>
    <w:rsid w:val="001A683E"/>
    <w:rPr>
      <w:rFonts w:ascii="Arial" w:eastAsia="Times New Roman" w:hAnsi="Arial" w:cs="Arial"/>
      <w:sz w:val="24"/>
      <w:szCs w:val="24"/>
      <w:lang w:eastAsia="en-GB"/>
    </w:rPr>
  </w:style>
  <w:style w:type="character" w:customStyle="1" w:styleId="UnresolvedMention">
    <w:name w:val="Unresolved Mention"/>
    <w:basedOn w:val="DefaultParagraphFont"/>
    <w:uiPriority w:val="99"/>
    <w:semiHidden/>
    <w:unhideWhenUsed/>
    <w:rsid w:val="0005285C"/>
    <w:rPr>
      <w:color w:val="605E5C"/>
      <w:shd w:val="clear" w:color="auto" w:fill="E1DFDD"/>
    </w:rPr>
  </w:style>
  <w:style w:type="paragraph" w:styleId="BalloonText">
    <w:name w:val="Balloon Text"/>
    <w:basedOn w:val="Normal"/>
    <w:link w:val="BalloonTextChar"/>
    <w:uiPriority w:val="99"/>
    <w:semiHidden/>
    <w:unhideWhenUsed/>
    <w:rsid w:val="00216379"/>
    <w:rPr>
      <w:rFonts w:ascii="Tahoma" w:hAnsi="Tahoma" w:cs="Tahoma"/>
      <w:sz w:val="16"/>
      <w:szCs w:val="16"/>
    </w:rPr>
  </w:style>
  <w:style w:type="character" w:customStyle="1" w:styleId="BalloonTextChar">
    <w:name w:val="Balloon Text Char"/>
    <w:basedOn w:val="DefaultParagraphFont"/>
    <w:link w:val="BalloonText"/>
    <w:uiPriority w:val="99"/>
    <w:semiHidden/>
    <w:rsid w:val="00216379"/>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B95"/>
    <w:pPr>
      <w:spacing w:after="0" w:line="240" w:lineRule="auto"/>
    </w:pPr>
    <w:rPr>
      <w:rFonts w:ascii="Arial" w:eastAsia="Times New Roman" w:hAnsi="Arial" w:cs="Arial"/>
      <w:sz w:val="24"/>
      <w:szCs w:val="24"/>
      <w:lang w:eastAsia="en-GB"/>
    </w:rPr>
  </w:style>
  <w:style w:type="paragraph" w:styleId="Heading3">
    <w:name w:val="heading 3"/>
    <w:basedOn w:val="Normal"/>
    <w:next w:val="Normal"/>
    <w:link w:val="Heading3Char"/>
    <w:uiPriority w:val="9"/>
    <w:unhideWhenUsed/>
    <w:qFormat/>
    <w:rsid w:val="001E0CC4"/>
    <w:pPr>
      <w:keepNext/>
      <w:keepLines/>
      <w:spacing w:before="240" w:after="240"/>
      <w:outlineLvl w:val="2"/>
    </w:pPr>
    <w:rPr>
      <w:rFonts w:ascii="Verdana" w:eastAsiaTheme="majorEastAsia" w:hAnsi="Verdana" w:cstheme="majorBidi"/>
      <w:b/>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2B95"/>
    <w:rPr>
      <w:color w:val="0563C1" w:themeColor="hyperlink"/>
      <w:u w:val="single"/>
    </w:rPr>
  </w:style>
  <w:style w:type="paragraph" w:customStyle="1" w:styleId="paragraph">
    <w:name w:val="paragraph"/>
    <w:basedOn w:val="Normal"/>
    <w:rsid w:val="00C02B95"/>
    <w:pPr>
      <w:spacing w:before="100" w:beforeAutospacing="1" w:after="100" w:afterAutospacing="1"/>
    </w:pPr>
    <w:rPr>
      <w:rFonts w:ascii="Times New Roman" w:hAnsi="Times New Roman" w:cs="Times New Roman"/>
    </w:rPr>
  </w:style>
  <w:style w:type="character" w:customStyle="1" w:styleId="normaltextrun">
    <w:name w:val="normaltextrun"/>
    <w:basedOn w:val="DefaultParagraphFont"/>
    <w:rsid w:val="00C02B95"/>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L"/>
    <w:basedOn w:val="Normal"/>
    <w:link w:val="ListParagraphChar"/>
    <w:uiPriority w:val="34"/>
    <w:qFormat/>
    <w:rsid w:val="00C02B95"/>
    <w:pPr>
      <w:ind w:left="720"/>
      <w:contextualSpacing/>
    </w:pPr>
  </w:style>
  <w:style w:type="paragraph" w:customStyle="1" w:styleId="legclearfix">
    <w:name w:val="legclearfix"/>
    <w:basedOn w:val="Normal"/>
    <w:rsid w:val="00830C4B"/>
    <w:pPr>
      <w:spacing w:before="100" w:beforeAutospacing="1" w:after="100" w:afterAutospacing="1"/>
    </w:pPr>
    <w:rPr>
      <w:rFonts w:ascii="Times New Roman" w:hAnsi="Times New Roman" w:cs="Times New Roman"/>
    </w:rPr>
  </w:style>
  <w:style w:type="character" w:customStyle="1" w:styleId="legds">
    <w:name w:val="legds"/>
    <w:basedOn w:val="DefaultParagraphFont"/>
    <w:rsid w:val="00830C4B"/>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L Char"/>
    <w:basedOn w:val="DefaultParagraphFont"/>
    <w:link w:val="ListParagraph"/>
    <w:uiPriority w:val="34"/>
    <w:locked/>
    <w:rsid w:val="00340262"/>
    <w:rPr>
      <w:rFonts w:ascii="Arial" w:eastAsia="Times New Roman" w:hAnsi="Arial" w:cs="Arial"/>
      <w:sz w:val="24"/>
      <w:szCs w:val="24"/>
      <w:lang w:eastAsia="en-GB"/>
    </w:rPr>
  </w:style>
  <w:style w:type="table" w:styleId="TableGrid">
    <w:name w:val="Table Grid"/>
    <w:basedOn w:val="TableNormal"/>
    <w:uiPriority w:val="39"/>
    <w:rsid w:val="003A6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E0CC4"/>
    <w:rPr>
      <w:rFonts w:ascii="Verdana" w:eastAsiaTheme="majorEastAsia" w:hAnsi="Verdana" w:cstheme="majorBidi"/>
      <w:b/>
      <w:szCs w:val="24"/>
    </w:rPr>
  </w:style>
  <w:style w:type="paragraph" w:styleId="Subtitle">
    <w:name w:val="Subtitle"/>
    <w:basedOn w:val="Normal"/>
    <w:next w:val="Normal"/>
    <w:link w:val="SubtitleChar"/>
    <w:uiPriority w:val="11"/>
    <w:qFormat/>
    <w:rsid w:val="001E0CC4"/>
    <w:pPr>
      <w:numPr>
        <w:ilvl w:val="1"/>
      </w:numPr>
      <w:spacing w:before="360" w:after="240"/>
    </w:pPr>
    <w:rPr>
      <w:rFonts w:ascii="Georgia" w:eastAsiaTheme="minorEastAsia" w:hAnsi="Georgia" w:cstheme="minorBidi"/>
      <w:sz w:val="32"/>
      <w:szCs w:val="22"/>
      <w:lang w:eastAsia="en-US"/>
    </w:rPr>
  </w:style>
  <w:style w:type="character" w:customStyle="1" w:styleId="SubtitleChar">
    <w:name w:val="Subtitle Char"/>
    <w:basedOn w:val="DefaultParagraphFont"/>
    <w:link w:val="Subtitle"/>
    <w:uiPriority w:val="11"/>
    <w:rsid w:val="001E0CC4"/>
    <w:rPr>
      <w:rFonts w:ascii="Georgia" w:eastAsiaTheme="minorEastAsia" w:hAnsi="Georgia"/>
      <w:sz w:val="32"/>
    </w:rPr>
  </w:style>
  <w:style w:type="paragraph" w:styleId="NormalWeb">
    <w:name w:val="Normal (Web)"/>
    <w:basedOn w:val="Normal"/>
    <w:uiPriority w:val="99"/>
    <w:unhideWhenUsed/>
    <w:rsid w:val="001E0CC4"/>
    <w:pPr>
      <w:spacing w:before="100" w:beforeAutospacing="1" w:after="100" w:afterAutospacing="1"/>
    </w:pPr>
    <w:rPr>
      <w:rFonts w:ascii="Times New Roman" w:hAnsi="Times New Roman" w:cs="Times New Roman"/>
    </w:rPr>
  </w:style>
  <w:style w:type="character" w:styleId="CommentReference">
    <w:name w:val="annotation reference"/>
    <w:basedOn w:val="DefaultParagraphFont"/>
    <w:uiPriority w:val="99"/>
    <w:semiHidden/>
    <w:unhideWhenUsed/>
    <w:rsid w:val="007A694C"/>
    <w:rPr>
      <w:sz w:val="16"/>
      <w:szCs w:val="16"/>
    </w:rPr>
  </w:style>
  <w:style w:type="paragraph" w:styleId="CommentText">
    <w:name w:val="annotation text"/>
    <w:basedOn w:val="Normal"/>
    <w:link w:val="CommentTextChar"/>
    <w:uiPriority w:val="99"/>
    <w:semiHidden/>
    <w:unhideWhenUsed/>
    <w:rsid w:val="007A694C"/>
    <w:rPr>
      <w:sz w:val="20"/>
      <w:szCs w:val="20"/>
    </w:rPr>
  </w:style>
  <w:style w:type="character" w:customStyle="1" w:styleId="CommentTextChar">
    <w:name w:val="Comment Text Char"/>
    <w:basedOn w:val="DefaultParagraphFont"/>
    <w:link w:val="CommentText"/>
    <w:uiPriority w:val="99"/>
    <w:semiHidden/>
    <w:rsid w:val="007A694C"/>
    <w:rPr>
      <w:rFonts w:ascii="Arial" w:eastAsia="Times New Roman"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7A694C"/>
    <w:rPr>
      <w:b/>
      <w:bCs/>
    </w:rPr>
  </w:style>
  <w:style w:type="character" w:customStyle="1" w:styleId="CommentSubjectChar">
    <w:name w:val="Comment Subject Char"/>
    <w:basedOn w:val="CommentTextChar"/>
    <w:link w:val="CommentSubject"/>
    <w:uiPriority w:val="99"/>
    <w:semiHidden/>
    <w:rsid w:val="007A694C"/>
    <w:rPr>
      <w:rFonts w:ascii="Arial" w:eastAsia="Times New Roman" w:hAnsi="Arial" w:cs="Arial"/>
      <w:b/>
      <w:bCs/>
      <w:sz w:val="20"/>
      <w:szCs w:val="20"/>
      <w:lang w:eastAsia="en-GB"/>
    </w:rPr>
  </w:style>
  <w:style w:type="paragraph" w:styleId="Header">
    <w:name w:val="header"/>
    <w:basedOn w:val="Normal"/>
    <w:link w:val="HeaderChar"/>
    <w:uiPriority w:val="99"/>
    <w:unhideWhenUsed/>
    <w:rsid w:val="001A683E"/>
    <w:pPr>
      <w:tabs>
        <w:tab w:val="center" w:pos="4513"/>
        <w:tab w:val="right" w:pos="9026"/>
      </w:tabs>
    </w:pPr>
  </w:style>
  <w:style w:type="character" w:customStyle="1" w:styleId="HeaderChar">
    <w:name w:val="Header Char"/>
    <w:basedOn w:val="DefaultParagraphFont"/>
    <w:link w:val="Header"/>
    <w:uiPriority w:val="99"/>
    <w:rsid w:val="001A683E"/>
    <w:rPr>
      <w:rFonts w:ascii="Arial" w:eastAsia="Times New Roman" w:hAnsi="Arial" w:cs="Arial"/>
      <w:sz w:val="24"/>
      <w:szCs w:val="24"/>
      <w:lang w:eastAsia="en-GB"/>
    </w:rPr>
  </w:style>
  <w:style w:type="paragraph" w:styleId="Footer">
    <w:name w:val="footer"/>
    <w:basedOn w:val="Normal"/>
    <w:link w:val="FooterChar"/>
    <w:uiPriority w:val="99"/>
    <w:unhideWhenUsed/>
    <w:rsid w:val="001A683E"/>
    <w:pPr>
      <w:tabs>
        <w:tab w:val="center" w:pos="4513"/>
        <w:tab w:val="right" w:pos="9026"/>
      </w:tabs>
    </w:pPr>
  </w:style>
  <w:style w:type="character" w:customStyle="1" w:styleId="FooterChar">
    <w:name w:val="Footer Char"/>
    <w:basedOn w:val="DefaultParagraphFont"/>
    <w:link w:val="Footer"/>
    <w:uiPriority w:val="99"/>
    <w:rsid w:val="001A683E"/>
    <w:rPr>
      <w:rFonts w:ascii="Arial" w:eastAsia="Times New Roman" w:hAnsi="Arial" w:cs="Arial"/>
      <w:sz w:val="24"/>
      <w:szCs w:val="24"/>
      <w:lang w:eastAsia="en-GB"/>
    </w:rPr>
  </w:style>
  <w:style w:type="character" w:customStyle="1" w:styleId="UnresolvedMention">
    <w:name w:val="Unresolved Mention"/>
    <w:basedOn w:val="DefaultParagraphFont"/>
    <w:uiPriority w:val="99"/>
    <w:semiHidden/>
    <w:unhideWhenUsed/>
    <w:rsid w:val="0005285C"/>
    <w:rPr>
      <w:color w:val="605E5C"/>
      <w:shd w:val="clear" w:color="auto" w:fill="E1DFDD"/>
    </w:rPr>
  </w:style>
  <w:style w:type="paragraph" w:styleId="BalloonText">
    <w:name w:val="Balloon Text"/>
    <w:basedOn w:val="Normal"/>
    <w:link w:val="BalloonTextChar"/>
    <w:uiPriority w:val="99"/>
    <w:semiHidden/>
    <w:unhideWhenUsed/>
    <w:rsid w:val="00216379"/>
    <w:rPr>
      <w:rFonts w:ascii="Tahoma" w:hAnsi="Tahoma" w:cs="Tahoma"/>
      <w:sz w:val="16"/>
      <w:szCs w:val="16"/>
    </w:rPr>
  </w:style>
  <w:style w:type="character" w:customStyle="1" w:styleId="BalloonTextChar">
    <w:name w:val="Balloon Text Char"/>
    <w:basedOn w:val="DefaultParagraphFont"/>
    <w:link w:val="BalloonText"/>
    <w:uiPriority w:val="99"/>
    <w:semiHidden/>
    <w:rsid w:val="00216379"/>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47096">
      <w:bodyDiv w:val="1"/>
      <w:marLeft w:val="0"/>
      <w:marRight w:val="0"/>
      <w:marTop w:val="0"/>
      <w:marBottom w:val="0"/>
      <w:divBdr>
        <w:top w:val="none" w:sz="0" w:space="0" w:color="auto"/>
        <w:left w:val="none" w:sz="0" w:space="0" w:color="auto"/>
        <w:bottom w:val="none" w:sz="0" w:space="0" w:color="auto"/>
        <w:right w:val="none" w:sz="0" w:space="0" w:color="auto"/>
      </w:divBdr>
    </w:div>
    <w:div w:id="404256302">
      <w:bodyDiv w:val="1"/>
      <w:marLeft w:val="0"/>
      <w:marRight w:val="0"/>
      <w:marTop w:val="0"/>
      <w:marBottom w:val="0"/>
      <w:divBdr>
        <w:top w:val="none" w:sz="0" w:space="0" w:color="auto"/>
        <w:left w:val="none" w:sz="0" w:space="0" w:color="auto"/>
        <w:bottom w:val="none" w:sz="0" w:space="0" w:color="auto"/>
        <w:right w:val="none" w:sz="0" w:space="0" w:color="auto"/>
      </w:divBdr>
    </w:div>
    <w:div w:id="541793976">
      <w:bodyDiv w:val="1"/>
      <w:marLeft w:val="0"/>
      <w:marRight w:val="0"/>
      <w:marTop w:val="0"/>
      <w:marBottom w:val="0"/>
      <w:divBdr>
        <w:top w:val="none" w:sz="0" w:space="0" w:color="auto"/>
        <w:left w:val="none" w:sz="0" w:space="0" w:color="auto"/>
        <w:bottom w:val="none" w:sz="0" w:space="0" w:color="auto"/>
        <w:right w:val="none" w:sz="0" w:space="0" w:color="auto"/>
      </w:divBdr>
    </w:div>
    <w:div w:id="1800680647">
      <w:bodyDiv w:val="1"/>
      <w:marLeft w:val="0"/>
      <w:marRight w:val="0"/>
      <w:marTop w:val="0"/>
      <w:marBottom w:val="0"/>
      <w:divBdr>
        <w:top w:val="none" w:sz="0" w:space="0" w:color="auto"/>
        <w:left w:val="none" w:sz="0" w:space="0" w:color="auto"/>
        <w:bottom w:val="none" w:sz="0" w:space="0" w:color="auto"/>
        <w:right w:val="none" w:sz="0" w:space="0" w:color="auto"/>
      </w:divBdr>
    </w:div>
    <w:div w:id="200785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2522</Words>
  <Characters>14382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Padmore</dc:creator>
  <cp:keywords/>
  <dc:description/>
  <cp:lastModifiedBy>Admin</cp:lastModifiedBy>
  <cp:revision>4</cp:revision>
  <dcterms:created xsi:type="dcterms:W3CDTF">2021-09-08T10:42:00Z</dcterms:created>
  <dcterms:modified xsi:type="dcterms:W3CDTF">2021-09-09T09:50:00Z</dcterms:modified>
</cp:coreProperties>
</file>