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56F3" w14:textId="77777777" w:rsidR="009A28D0" w:rsidRDefault="009A28D0" w:rsidP="009A28D0">
      <w:r>
        <w:rPr>
          <w:noProof/>
        </w:rPr>
        <w:drawing>
          <wp:inline distT="0" distB="0" distL="0" distR="0" wp14:anchorId="1A2AA4F6" wp14:editId="71073327">
            <wp:extent cx="1428750" cy="838200"/>
            <wp:effectExtent l="0" t="0" r="0" b="0"/>
            <wp:docPr id="428369384" name="Picture 4283693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9384" name="Picture 428369384"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28750" cy="838200"/>
                    </a:xfrm>
                    <a:prstGeom prst="rect">
                      <a:avLst/>
                    </a:prstGeom>
                  </pic:spPr>
                </pic:pic>
              </a:graphicData>
            </a:graphic>
          </wp:inline>
        </w:drawing>
      </w:r>
    </w:p>
    <w:p w14:paraId="0AB8AD47" w14:textId="77777777" w:rsidR="009A28D0" w:rsidRDefault="009A28D0" w:rsidP="009A28D0"/>
    <w:p w14:paraId="69DC4027" w14:textId="0417C7C4" w:rsidR="009A28D0" w:rsidRDefault="009A28D0" w:rsidP="009A28D0">
      <w:pPr>
        <w:jc w:val="center"/>
        <w:rPr>
          <w:rFonts w:ascii="Georgia" w:eastAsia="Georgia" w:hAnsi="Georgia" w:cs="Georgia"/>
          <w:sz w:val="32"/>
          <w:szCs w:val="32"/>
        </w:rPr>
      </w:pPr>
      <w:r w:rsidRPr="79B1D1E0">
        <w:rPr>
          <w:rFonts w:ascii="Georgia" w:eastAsia="Georgia" w:hAnsi="Georgia" w:cs="Georgia"/>
          <w:sz w:val="32"/>
          <w:szCs w:val="32"/>
        </w:rPr>
        <w:t xml:space="preserve">The Information Commissioner’s response to </w:t>
      </w:r>
      <w:r w:rsidR="00820F8D">
        <w:rPr>
          <w:rFonts w:ascii="Georgia" w:eastAsia="Georgia" w:hAnsi="Georgia" w:cs="Georgia"/>
          <w:sz w:val="32"/>
          <w:szCs w:val="32"/>
        </w:rPr>
        <w:t>DCMS’s AI Re</w:t>
      </w:r>
      <w:r w:rsidR="002768CB">
        <w:rPr>
          <w:rFonts w:ascii="Georgia" w:eastAsia="Georgia" w:hAnsi="Georgia" w:cs="Georgia"/>
          <w:sz w:val="32"/>
          <w:szCs w:val="32"/>
        </w:rPr>
        <w:t xml:space="preserve">gulation Policy </w:t>
      </w:r>
      <w:r w:rsidR="00553F18">
        <w:rPr>
          <w:rFonts w:ascii="Georgia" w:eastAsia="Georgia" w:hAnsi="Georgia" w:cs="Georgia"/>
          <w:sz w:val="32"/>
          <w:szCs w:val="32"/>
        </w:rPr>
        <w:t>Paper ‘</w:t>
      </w:r>
      <w:r w:rsidR="00820F8D" w:rsidRPr="00820F8D">
        <w:rPr>
          <w:rFonts w:ascii="Georgia" w:eastAsia="Georgia" w:hAnsi="Georgia" w:cs="Georgia"/>
          <w:sz w:val="32"/>
          <w:szCs w:val="32"/>
        </w:rPr>
        <w:t>Establishing a pro-innovation approach to regulating AI</w:t>
      </w:r>
      <w:r w:rsidR="00553F18">
        <w:rPr>
          <w:rFonts w:ascii="Georgia" w:eastAsia="Georgia" w:hAnsi="Georgia" w:cs="Georgia"/>
          <w:sz w:val="32"/>
          <w:szCs w:val="32"/>
        </w:rPr>
        <w:t>’</w:t>
      </w:r>
    </w:p>
    <w:p w14:paraId="72759617" w14:textId="515CFF29" w:rsidR="00907C05" w:rsidRDefault="00907C05" w:rsidP="00907C05">
      <w:pPr>
        <w:pStyle w:val="Heading2"/>
      </w:pPr>
      <w:r>
        <w:t>About the ICO</w:t>
      </w:r>
    </w:p>
    <w:p w14:paraId="44D5D442" w14:textId="77777777" w:rsidR="009A28D0" w:rsidRPr="00227385" w:rsidRDefault="009A28D0" w:rsidP="009A28D0">
      <w:pPr>
        <w:pStyle w:val="ListParagraph"/>
        <w:numPr>
          <w:ilvl w:val="0"/>
          <w:numId w:val="1"/>
        </w:numPr>
        <w:spacing w:after="240" w:line="240" w:lineRule="auto"/>
        <w:ind w:left="567" w:hanging="567"/>
        <w:contextualSpacing w:val="0"/>
        <w:rPr>
          <w:rFonts w:ascii="Verdana" w:eastAsia="Verdana" w:hAnsi="Verdana" w:cs="Verdana"/>
        </w:rPr>
      </w:pPr>
      <w:r w:rsidRPr="00227385">
        <w:rPr>
          <w:rFonts w:ascii="Verdana" w:eastAsia="Verdana" w:hAnsi="Verdana" w:cs="Verdana"/>
        </w:rPr>
        <w:t xml:space="preserve">The Information Commissioner has responsibility in the UK for promoting and enforcing the UK General Data Protection Regulation (UK GDPR), the Data Protection Act 2018 (DPA 2018), the Freedom of Information Act 2000, the Environmental Information Regulations 2004 and the Privacy and Electronic Communications Regulations 2003 (PECR), among others. </w:t>
      </w:r>
    </w:p>
    <w:p w14:paraId="5A3CB90C" w14:textId="3AC3CE6F" w:rsidR="009A28D0" w:rsidRPr="00227385" w:rsidRDefault="009A28D0" w:rsidP="009A28D0">
      <w:pPr>
        <w:pStyle w:val="ListParagraph"/>
        <w:numPr>
          <w:ilvl w:val="0"/>
          <w:numId w:val="1"/>
        </w:numPr>
        <w:spacing w:after="240" w:line="240" w:lineRule="auto"/>
        <w:ind w:left="567" w:hanging="567"/>
        <w:contextualSpacing w:val="0"/>
        <w:rPr>
          <w:rFonts w:ascii="Verdana" w:eastAsia="Verdana" w:hAnsi="Verdana" w:cs="Verdana"/>
        </w:rPr>
      </w:pPr>
      <w:r w:rsidRPr="00227385">
        <w:rPr>
          <w:rFonts w:ascii="Verdana" w:eastAsia="Verdana" w:hAnsi="Verdana" w:cs="Verdana"/>
        </w:rPr>
        <w:t xml:space="preserve">The Commissioner is independent from government and upholds </w:t>
      </w:r>
      <w:r w:rsidR="00904214">
        <w:rPr>
          <w:rFonts w:ascii="Verdana" w:eastAsia="Verdana" w:hAnsi="Verdana" w:cs="Verdana"/>
        </w:rPr>
        <w:t>information</w:t>
      </w:r>
      <w:r w:rsidR="001D3ADD">
        <w:rPr>
          <w:rFonts w:ascii="Verdana" w:eastAsia="Verdana" w:hAnsi="Verdana" w:cs="Verdana"/>
        </w:rPr>
        <w:t xml:space="preserve"> </w:t>
      </w:r>
      <w:r w:rsidRPr="00227385">
        <w:rPr>
          <w:rFonts w:ascii="Verdana" w:eastAsia="Verdana" w:hAnsi="Verdana" w:cs="Verdana"/>
        </w:rPr>
        <w:t xml:space="preserve">rights in the public interest, promoting openness by public bodies and </w:t>
      </w:r>
      <w:r w:rsidR="00904214">
        <w:rPr>
          <w:rFonts w:ascii="Verdana" w:eastAsia="Verdana" w:hAnsi="Verdana" w:cs="Verdana"/>
        </w:rPr>
        <w:t xml:space="preserve">data </w:t>
      </w:r>
      <w:r w:rsidRPr="00227385">
        <w:rPr>
          <w:rFonts w:ascii="Verdana" w:eastAsia="Verdana" w:hAnsi="Verdana" w:cs="Verdana"/>
        </w:rPr>
        <w:t>privacy for individuals. The Commissioner does this by providing guidance to individuals and organisations and taking appropriate action where the law is broken.</w:t>
      </w:r>
    </w:p>
    <w:p w14:paraId="6693EFBA" w14:textId="77777777" w:rsidR="009A28D0" w:rsidRDefault="009A28D0" w:rsidP="009A28D0">
      <w:pPr>
        <w:pStyle w:val="Heading2"/>
      </w:pPr>
      <w:r w:rsidRPr="20D2A97F">
        <w:t>Introduction</w:t>
      </w:r>
    </w:p>
    <w:p w14:paraId="44DB941B" w14:textId="2EB1F50A" w:rsidR="00233A32" w:rsidRPr="00192ACA" w:rsidRDefault="009A28D0" w:rsidP="00233A32">
      <w:pPr>
        <w:pStyle w:val="ListParagraph"/>
        <w:numPr>
          <w:ilvl w:val="0"/>
          <w:numId w:val="1"/>
        </w:numPr>
        <w:spacing w:after="240" w:line="240" w:lineRule="auto"/>
        <w:ind w:left="567" w:hanging="567"/>
        <w:contextualSpacing w:val="0"/>
        <w:rPr>
          <w:rFonts w:ascii="Verdana" w:eastAsiaTheme="minorEastAsia" w:hAnsi="Verdana"/>
        </w:rPr>
      </w:pPr>
      <w:r w:rsidRPr="00227385">
        <w:rPr>
          <w:rFonts w:ascii="Verdana" w:eastAsia="Verdana" w:hAnsi="Verdana" w:cs="Verdana"/>
        </w:rPr>
        <w:t xml:space="preserve">The Information Commissioner’s Office (ICO) welcomes </w:t>
      </w:r>
      <w:r w:rsidR="007D46A6">
        <w:rPr>
          <w:rFonts w:ascii="Verdana" w:eastAsia="Verdana" w:hAnsi="Verdana" w:cs="Verdana"/>
        </w:rPr>
        <w:t>the</w:t>
      </w:r>
      <w:r w:rsidRPr="00227385">
        <w:rPr>
          <w:rFonts w:ascii="Verdana" w:eastAsia="Verdana" w:hAnsi="Verdana" w:cs="Verdana"/>
        </w:rPr>
        <w:t xml:space="preserve"> opportunity to provide comments </w:t>
      </w:r>
      <w:r w:rsidR="00191084">
        <w:rPr>
          <w:rFonts w:ascii="Verdana" w:eastAsia="Verdana" w:hAnsi="Verdana" w:cs="Verdana"/>
        </w:rPr>
        <w:t xml:space="preserve">on behalf of the Commissioner, </w:t>
      </w:r>
      <w:r w:rsidRPr="00227385">
        <w:rPr>
          <w:rFonts w:ascii="Verdana" w:eastAsia="Verdana" w:hAnsi="Verdana" w:cs="Verdana"/>
        </w:rPr>
        <w:t xml:space="preserve">on </w:t>
      </w:r>
      <w:r w:rsidR="001F5A6D">
        <w:rPr>
          <w:rFonts w:ascii="Verdana" w:eastAsia="Verdana" w:hAnsi="Verdana" w:cs="Verdana"/>
        </w:rPr>
        <w:t xml:space="preserve">the AI Regulation Policy Paper titled ‘Establishing a </w:t>
      </w:r>
      <w:r w:rsidR="00904214">
        <w:rPr>
          <w:rFonts w:ascii="Verdana" w:eastAsia="Verdana" w:hAnsi="Verdana" w:cs="Verdana"/>
        </w:rPr>
        <w:t>P</w:t>
      </w:r>
      <w:r w:rsidR="001F5A6D">
        <w:rPr>
          <w:rFonts w:ascii="Verdana" w:eastAsia="Verdana" w:hAnsi="Verdana" w:cs="Verdana"/>
        </w:rPr>
        <w:t xml:space="preserve">ro-innovation </w:t>
      </w:r>
      <w:r w:rsidR="00904214">
        <w:rPr>
          <w:rFonts w:ascii="Verdana" w:eastAsia="Verdana" w:hAnsi="Verdana" w:cs="Verdana"/>
        </w:rPr>
        <w:t>A</w:t>
      </w:r>
      <w:r w:rsidR="001F5A6D">
        <w:rPr>
          <w:rFonts w:ascii="Verdana" w:eastAsia="Verdana" w:hAnsi="Verdana" w:cs="Verdana"/>
        </w:rPr>
        <w:t xml:space="preserve">pproach to </w:t>
      </w:r>
      <w:r w:rsidR="00904214">
        <w:rPr>
          <w:rFonts w:ascii="Verdana" w:eastAsia="Verdana" w:hAnsi="Verdana" w:cs="Verdana"/>
        </w:rPr>
        <w:t>R</w:t>
      </w:r>
      <w:r w:rsidR="001F5A6D">
        <w:rPr>
          <w:rFonts w:ascii="Verdana" w:eastAsia="Verdana" w:hAnsi="Verdana" w:cs="Verdana"/>
        </w:rPr>
        <w:t xml:space="preserve">egulating AI’ </w:t>
      </w:r>
      <w:r w:rsidR="007D46A6">
        <w:rPr>
          <w:rFonts w:ascii="Verdana" w:eastAsia="Verdana" w:hAnsi="Verdana" w:cs="Verdana"/>
        </w:rPr>
        <w:t xml:space="preserve">and </w:t>
      </w:r>
      <w:r w:rsidR="00820F8D">
        <w:rPr>
          <w:rFonts w:ascii="Verdana" w:eastAsia="Verdana" w:hAnsi="Verdana" w:cs="Verdana"/>
        </w:rPr>
        <w:t>published by the Department for Digital, Culture, Media and Sport</w:t>
      </w:r>
      <w:r w:rsidR="00191084">
        <w:rPr>
          <w:rFonts w:ascii="Verdana" w:eastAsia="Verdana" w:hAnsi="Verdana" w:cs="Verdana"/>
        </w:rPr>
        <w:t xml:space="preserve"> (DCMS)</w:t>
      </w:r>
      <w:r w:rsidR="003403B0">
        <w:rPr>
          <w:rFonts w:ascii="Verdana" w:eastAsia="Verdana" w:hAnsi="Verdana" w:cs="Verdana"/>
        </w:rPr>
        <w:t>.</w:t>
      </w:r>
    </w:p>
    <w:p w14:paraId="08176BC5" w14:textId="5882A28F" w:rsidR="00192ACA" w:rsidRPr="00DB0446" w:rsidRDefault="00192ACA" w:rsidP="00B2563A">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Verdana" w:hAnsi="Verdana" w:cs="Verdana"/>
        </w:rPr>
        <w:t xml:space="preserve">We </w:t>
      </w:r>
      <w:r w:rsidR="008B4610">
        <w:rPr>
          <w:rFonts w:ascii="Verdana" w:eastAsia="Verdana" w:hAnsi="Verdana" w:cs="Verdana"/>
        </w:rPr>
        <w:t>also note the reforms to</w:t>
      </w:r>
      <w:r w:rsidR="00924806">
        <w:rPr>
          <w:rFonts w:ascii="Verdana" w:eastAsia="Verdana" w:hAnsi="Verdana" w:cs="Verdana"/>
        </w:rPr>
        <w:t xml:space="preserve"> AI regulation </w:t>
      </w:r>
      <w:r w:rsidR="008B4610">
        <w:rPr>
          <w:rFonts w:ascii="Verdana" w:eastAsia="Verdana" w:hAnsi="Verdana" w:cs="Verdana"/>
        </w:rPr>
        <w:t>that will be introduced through</w:t>
      </w:r>
      <w:r w:rsidR="008E5C54">
        <w:rPr>
          <w:rFonts w:ascii="Verdana" w:eastAsia="Verdana" w:hAnsi="Verdana" w:cs="Verdana"/>
        </w:rPr>
        <w:t xml:space="preserve"> the Data Protection </w:t>
      </w:r>
      <w:r w:rsidR="008E5C54" w:rsidRPr="0060271D">
        <w:rPr>
          <w:rFonts w:ascii="Verdana" w:eastAsia="Verdana" w:hAnsi="Verdana" w:cs="Verdana"/>
        </w:rPr>
        <w:t>and Digital Information Bill</w:t>
      </w:r>
      <w:r w:rsidR="00610D27">
        <w:rPr>
          <w:rStyle w:val="FootnoteReference"/>
          <w:rFonts w:ascii="Verdana" w:eastAsia="Verdana" w:hAnsi="Verdana" w:cs="Verdana"/>
        </w:rPr>
        <w:footnoteReference w:id="1"/>
      </w:r>
      <w:r w:rsidR="008E5C54">
        <w:rPr>
          <w:rFonts w:ascii="Verdana" w:eastAsia="Verdana" w:hAnsi="Verdana" w:cs="Verdana"/>
        </w:rPr>
        <w:t xml:space="preserve"> that was laid before Parliament on 18 July 2022. </w:t>
      </w:r>
      <w:r w:rsidR="008B4610">
        <w:rPr>
          <w:rFonts w:ascii="Verdana" w:eastAsia="Verdana" w:hAnsi="Verdana" w:cs="Verdana"/>
        </w:rPr>
        <w:t xml:space="preserve">We support the Government’s policy intent to reframe Article 22 of UK GDPR </w:t>
      </w:r>
      <w:r w:rsidR="008B4610" w:rsidRPr="008B4610">
        <w:rPr>
          <w:rFonts w:ascii="Verdana" w:eastAsia="Verdana" w:hAnsi="Verdana" w:cs="Verdana"/>
        </w:rPr>
        <w:t>as a right to specific safeguards, rather than as a general prohibition on solely automated decision-making</w:t>
      </w:r>
      <w:r w:rsidR="00B2563A">
        <w:rPr>
          <w:rFonts w:ascii="Verdana" w:eastAsia="Verdana" w:hAnsi="Verdana" w:cs="Verdana"/>
        </w:rPr>
        <w:t>, and to clarify</w:t>
      </w:r>
      <w:r w:rsidR="00915520">
        <w:rPr>
          <w:rFonts w:ascii="Verdana" w:eastAsia="Verdana" w:hAnsi="Verdana" w:cs="Verdana"/>
        </w:rPr>
        <w:t xml:space="preserve"> the provisions around processing for bias mitigation in AI systems. </w:t>
      </w:r>
      <w:r w:rsidR="000267B5">
        <w:rPr>
          <w:rFonts w:ascii="Verdana" w:eastAsia="Verdana" w:hAnsi="Verdana" w:cs="Verdana"/>
        </w:rPr>
        <w:t xml:space="preserve">We look forward to implementing the new regulatory regime. </w:t>
      </w:r>
    </w:p>
    <w:p w14:paraId="1BBC8EF7" w14:textId="0A5162E3" w:rsidR="00645AB0" w:rsidRPr="00DB0446" w:rsidRDefault="00645AB0" w:rsidP="00DB0446">
      <w:pPr>
        <w:spacing w:after="240" w:line="240" w:lineRule="auto"/>
        <w:rPr>
          <w:rFonts w:ascii="Verdana" w:eastAsiaTheme="minorEastAsia" w:hAnsi="Verdana"/>
          <w:b/>
          <w:bCs/>
          <w:i/>
          <w:iCs/>
        </w:rPr>
      </w:pPr>
      <w:r w:rsidRPr="00DB0446">
        <w:rPr>
          <w:rFonts w:ascii="Verdana" w:eastAsiaTheme="minorEastAsia" w:hAnsi="Verdana"/>
          <w:b/>
          <w:bCs/>
          <w:i/>
          <w:iCs/>
        </w:rPr>
        <w:t>The role of the ICO</w:t>
      </w:r>
    </w:p>
    <w:p w14:paraId="63BDD111" w14:textId="0EC859AA" w:rsidR="00645AB0" w:rsidRPr="001F238E" w:rsidRDefault="001F238E" w:rsidP="001F238E">
      <w:pPr>
        <w:pStyle w:val="ListParagraph"/>
        <w:numPr>
          <w:ilvl w:val="0"/>
          <w:numId w:val="1"/>
        </w:numPr>
        <w:spacing w:after="240" w:line="240" w:lineRule="auto"/>
        <w:ind w:left="567" w:hanging="567"/>
        <w:contextualSpacing w:val="0"/>
        <w:rPr>
          <w:rFonts w:ascii="Verdana" w:eastAsiaTheme="minorEastAsia" w:hAnsi="Verdana"/>
        </w:rPr>
      </w:pPr>
      <w:r w:rsidRPr="005C7037">
        <w:rPr>
          <w:rFonts w:ascii="Verdana" w:eastAsiaTheme="minorEastAsia" w:hAnsi="Verdana"/>
        </w:rPr>
        <w:t>Even though t</w:t>
      </w:r>
      <w:r w:rsidR="00107F05" w:rsidRPr="005C7037">
        <w:rPr>
          <w:rFonts w:ascii="Verdana" w:eastAsiaTheme="minorEastAsia" w:hAnsi="Verdana"/>
        </w:rPr>
        <w:t xml:space="preserve">here </w:t>
      </w:r>
      <w:r w:rsidRPr="005C7037">
        <w:rPr>
          <w:rFonts w:ascii="Verdana" w:eastAsiaTheme="minorEastAsia" w:hAnsi="Verdana"/>
        </w:rPr>
        <w:t xml:space="preserve">are </w:t>
      </w:r>
      <w:r w:rsidR="004042AC" w:rsidRPr="005C7037">
        <w:rPr>
          <w:rFonts w:ascii="Verdana" w:eastAsiaTheme="minorEastAsia" w:hAnsi="Verdana"/>
        </w:rPr>
        <w:t xml:space="preserve">many AI applications that do not involve </w:t>
      </w:r>
      <w:r w:rsidR="00107F05" w:rsidRPr="005C7037">
        <w:rPr>
          <w:rFonts w:ascii="Verdana" w:eastAsiaTheme="minorEastAsia" w:hAnsi="Verdana"/>
        </w:rPr>
        <w:t xml:space="preserve">the processing of </w:t>
      </w:r>
      <w:r w:rsidR="004042AC" w:rsidRPr="005C7037">
        <w:rPr>
          <w:rFonts w:ascii="Verdana" w:eastAsiaTheme="minorEastAsia" w:hAnsi="Verdana"/>
        </w:rPr>
        <w:t>personal</w:t>
      </w:r>
      <w:r w:rsidR="00107F05" w:rsidRPr="005C7037">
        <w:rPr>
          <w:rFonts w:ascii="Verdana" w:eastAsiaTheme="minorEastAsia" w:hAnsi="Verdana"/>
        </w:rPr>
        <w:t xml:space="preserve"> data</w:t>
      </w:r>
      <w:r w:rsidRPr="005C7037">
        <w:rPr>
          <w:rFonts w:ascii="Verdana" w:eastAsiaTheme="minorEastAsia" w:hAnsi="Verdana"/>
        </w:rPr>
        <w:t xml:space="preserve"> </w:t>
      </w:r>
      <w:r w:rsidR="004042AC" w:rsidRPr="005C7037">
        <w:rPr>
          <w:rFonts w:ascii="Verdana" w:eastAsiaTheme="minorEastAsia" w:hAnsi="Verdana"/>
        </w:rPr>
        <w:t xml:space="preserve">– </w:t>
      </w:r>
      <w:r w:rsidR="00107F05" w:rsidRPr="005C7037">
        <w:rPr>
          <w:rFonts w:ascii="Verdana" w:eastAsiaTheme="minorEastAsia" w:hAnsi="Verdana"/>
        </w:rPr>
        <w:t xml:space="preserve">such as </w:t>
      </w:r>
      <w:r w:rsidR="004042AC" w:rsidRPr="005C7037">
        <w:rPr>
          <w:rFonts w:ascii="Verdana" w:eastAsiaTheme="minorEastAsia" w:hAnsi="Verdana"/>
        </w:rPr>
        <w:t>climate modelling, non</w:t>
      </w:r>
      <w:r w:rsidRPr="005C7037">
        <w:rPr>
          <w:rFonts w:ascii="Verdana" w:eastAsiaTheme="minorEastAsia" w:hAnsi="Verdana"/>
        </w:rPr>
        <w:t>-</w:t>
      </w:r>
      <w:r w:rsidR="004042AC" w:rsidRPr="005C7037">
        <w:rPr>
          <w:rFonts w:ascii="Verdana" w:eastAsiaTheme="minorEastAsia" w:hAnsi="Verdana"/>
        </w:rPr>
        <w:t xml:space="preserve">human genetic research </w:t>
      </w:r>
      <w:r w:rsidRPr="005C7037">
        <w:rPr>
          <w:rFonts w:ascii="Verdana" w:eastAsiaTheme="minorEastAsia" w:hAnsi="Verdana"/>
        </w:rPr>
        <w:t xml:space="preserve">– we believe that the uses of AI with greatest salience for public policy will be in fact, powered by personal data. </w:t>
      </w:r>
      <w:r w:rsidR="00645AB0" w:rsidRPr="005C7037">
        <w:rPr>
          <w:rFonts w:ascii="Verdana" w:eastAsiaTheme="minorEastAsia" w:hAnsi="Verdana"/>
        </w:rPr>
        <w:t xml:space="preserve">This </w:t>
      </w:r>
      <w:r w:rsidR="00E37D1B">
        <w:rPr>
          <w:rFonts w:ascii="Verdana" w:eastAsiaTheme="minorEastAsia" w:hAnsi="Verdana"/>
        </w:rPr>
        <w:t xml:space="preserve">personal data </w:t>
      </w:r>
      <w:r w:rsidR="00645AB0" w:rsidRPr="001F238E">
        <w:rPr>
          <w:rFonts w:ascii="Verdana" w:eastAsiaTheme="minorEastAsia" w:hAnsi="Verdana"/>
        </w:rPr>
        <w:lastRenderedPageBreak/>
        <w:t xml:space="preserve">may be processed to design, train, test or deploy an AI system. All these stages of AI development and deployment fall under the ICO’s purview, as the data protection regulator. </w:t>
      </w:r>
    </w:p>
    <w:p w14:paraId="040A672D" w14:textId="570ED20B" w:rsidR="00645AB0" w:rsidRDefault="00645AB0" w:rsidP="00645AB0">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Given </w:t>
      </w:r>
      <w:r w:rsidRPr="00E45DA8">
        <w:rPr>
          <w:rFonts w:ascii="Verdana" w:eastAsiaTheme="minorEastAsia" w:hAnsi="Verdana"/>
        </w:rPr>
        <w:t xml:space="preserve">the centrality of personal data in AI development and deployment, it is </w:t>
      </w:r>
      <w:r>
        <w:rPr>
          <w:rFonts w:ascii="Verdana" w:eastAsiaTheme="minorEastAsia" w:hAnsi="Verdana"/>
        </w:rPr>
        <w:t>not</w:t>
      </w:r>
      <w:r w:rsidRPr="00E45DA8">
        <w:rPr>
          <w:rFonts w:ascii="Verdana" w:eastAsiaTheme="minorEastAsia" w:hAnsi="Verdana"/>
        </w:rPr>
        <w:t xml:space="preserve"> surprising that </w:t>
      </w:r>
      <w:r>
        <w:rPr>
          <w:rFonts w:ascii="Verdana" w:eastAsiaTheme="minorEastAsia" w:hAnsi="Verdana"/>
        </w:rPr>
        <w:t xml:space="preserve">many of the policy challenges highlighted by </w:t>
      </w:r>
      <w:r w:rsidR="00DB0446">
        <w:rPr>
          <w:rFonts w:ascii="Verdana" w:eastAsiaTheme="minorEastAsia" w:hAnsi="Verdana"/>
        </w:rPr>
        <w:t>the Government</w:t>
      </w:r>
      <w:r>
        <w:rPr>
          <w:rFonts w:ascii="Verdana" w:eastAsiaTheme="minorEastAsia" w:hAnsi="Verdana"/>
        </w:rPr>
        <w:t xml:space="preserve"> – such as </w:t>
      </w:r>
      <w:r w:rsidRPr="00E45DA8">
        <w:rPr>
          <w:rFonts w:ascii="Verdana" w:eastAsiaTheme="minorEastAsia" w:hAnsi="Verdana"/>
        </w:rPr>
        <w:t>transparency, accountability, security</w:t>
      </w:r>
      <w:r>
        <w:rPr>
          <w:rFonts w:ascii="Verdana" w:eastAsiaTheme="minorEastAsia" w:hAnsi="Verdana"/>
        </w:rPr>
        <w:t xml:space="preserve"> and</w:t>
      </w:r>
      <w:r w:rsidRPr="00E45DA8">
        <w:rPr>
          <w:rFonts w:ascii="Verdana" w:eastAsiaTheme="minorEastAsia" w:hAnsi="Verdana"/>
        </w:rPr>
        <w:t xml:space="preserve"> accuracy</w:t>
      </w:r>
      <w:r>
        <w:rPr>
          <w:rFonts w:ascii="Verdana" w:eastAsiaTheme="minorEastAsia" w:hAnsi="Verdana"/>
        </w:rPr>
        <w:t xml:space="preserve"> – are already covered to a large degree by the data protection framework</w:t>
      </w:r>
      <w:r>
        <w:rPr>
          <w:rStyle w:val="FootnoteReference"/>
          <w:rFonts w:ascii="Verdana" w:eastAsiaTheme="minorEastAsia" w:hAnsi="Verdana"/>
        </w:rPr>
        <w:footnoteReference w:id="2"/>
      </w:r>
      <w:r>
        <w:rPr>
          <w:rFonts w:ascii="Verdana" w:eastAsiaTheme="minorEastAsia" w:hAnsi="Verdana"/>
        </w:rPr>
        <w:t xml:space="preserve">. Public trust in AI will rely on people having confidence that their personal information is protected and that decisions about them are taken in ways that they would expect – and in line with UK data protection law. </w:t>
      </w:r>
    </w:p>
    <w:p w14:paraId="476384B6" w14:textId="1AD9EC8C" w:rsidR="00B2563A" w:rsidRDefault="00645AB0" w:rsidP="00233A32">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AI is a strategic priority for the ICO</w:t>
      </w:r>
      <w:r w:rsidR="00B2563A">
        <w:rPr>
          <w:rFonts w:ascii="Verdana" w:eastAsiaTheme="minorEastAsia" w:hAnsi="Verdana"/>
        </w:rPr>
        <w:t>. T</w:t>
      </w:r>
      <w:r w:rsidR="00903E6C" w:rsidRPr="0060271D">
        <w:rPr>
          <w:rFonts w:ascii="Verdana" w:eastAsiaTheme="minorEastAsia" w:hAnsi="Verdana"/>
        </w:rPr>
        <w:t xml:space="preserve">he recently </w:t>
      </w:r>
      <w:r w:rsidR="007D46A6" w:rsidRPr="0060271D">
        <w:rPr>
          <w:rFonts w:ascii="Verdana" w:eastAsiaTheme="minorEastAsia" w:hAnsi="Verdana"/>
        </w:rPr>
        <w:t>launched</w:t>
      </w:r>
      <w:r w:rsidR="00903E6C" w:rsidRPr="0060271D">
        <w:rPr>
          <w:rFonts w:ascii="Verdana" w:eastAsiaTheme="minorEastAsia" w:hAnsi="Verdana"/>
        </w:rPr>
        <w:t xml:space="preserve"> ICO25</w:t>
      </w:r>
      <w:r w:rsidR="00CE0DAA" w:rsidRPr="0060271D">
        <w:rPr>
          <w:rStyle w:val="FootnoteReference"/>
          <w:rFonts w:ascii="Verdana" w:eastAsiaTheme="minorEastAsia" w:hAnsi="Verdana"/>
        </w:rPr>
        <w:footnoteReference w:id="3"/>
      </w:r>
      <w:r w:rsidR="006520A6" w:rsidRPr="0060271D">
        <w:rPr>
          <w:rFonts w:ascii="Verdana" w:eastAsiaTheme="minorEastAsia" w:hAnsi="Verdana"/>
        </w:rPr>
        <w:t xml:space="preserve"> strategic plan </w:t>
      </w:r>
      <w:r w:rsidR="00B2563A">
        <w:rPr>
          <w:rFonts w:ascii="Verdana" w:eastAsiaTheme="minorEastAsia" w:hAnsi="Verdana"/>
        </w:rPr>
        <w:t>highlights our current work in this area, including actions</w:t>
      </w:r>
      <w:r w:rsidR="00806B55">
        <w:rPr>
          <w:rFonts w:ascii="Verdana" w:eastAsiaTheme="minorEastAsia" w:hAnsi="Verdana"/>
        </w:rPr>
        <w:t xml:space="preserve"> to tackle urgent </w:t>
      </w:r>
      <w:r w:rsidR="008B0A0B">
        <w:rPr>
          <w:rFonts w:ascii="Verdana" w:eastAsiaTheme="minorEastAsia" w:hAnsi="Verdana"/>
        </w:rPr>
        <w:t>and</w:t>
      </w:r>
      <w:r w:rsidR="00806B55">
        <w:rPr>
          <w:rFonts w:ascii="Verdana" w:eastAsiaTheme="minorEastAsia" w:hAnsi="Verdana"/>
        </w:rPr>
        <w:t xml:space="preserve"> complex </w:t>
      </w:r>
      <w:r w:rsidR="00806B55" w:rsidRPr="004C6BC4">
        <w:rPr>
          <w:rFonts w:ascii="Verdana" w:eastAsiaTheme="minorEastAsia" w:hAnsi="Verdana"/>
        </w:rPr>
        <w:t>issues such as AI-driven discrimination.</w:t>
      </w:r>
      <w:r w:rsidR="000D65C8" w:rsidRPr="004C6BC4">
        <w:rPr>
          <w:rStyle w:val="FootnoteReference"/>
          <w:rFonts w:ascii="Verdana" w:eastAsiaTheme="minorEastAsia" w:hAnsi="Verdana"/>
        </w:rPr>
        <w:footnoteReference w:id="4"/>
      </w:r>
      <w:r w:rsidR="00806B55" w:rsidRPr="004C6BC4">
        <w:rPr>
          <w:rFonts w:ascii="Verdana" w:eastAsiaTheme="minorEastAsia" w:hAnsi="Verdana"/>
        </w:rPr>
        <w:t xml:space="preserve"> </w:t>
      </w:r>
      <w:r w:rsidR="00B2563A">
        <w:rPr>
          <w:rFonts w:ascii="Verdana" w:eastAsiaTheme="minorEastAsia" w:hAnsi="Verdana"/>
        </w:rPr>
        <w:t>This builds on our existing work on AI, including:</w:t>
      </w:r>
    </w:p>
    <w:p w14:paraId="0F1230CC" w14:textId="59EC19C5" w:rsidR="00C77BCB" w:rsidRDefault="00B2563A" w:rsidP="00050528">
      <w:pPr>
        <w:pStyle w:val="ListParagraph"/>
        <w:numPr>
          <w:ilvl w:val="0"/>
          <w:numId w:val="4"/>
        </w:numPr>
        <w:spacing w:after="240" w:line="240" w:lineRule="auto"/>
        <w:ind w:left="993"/>
        <w:rPr>
          <w:rFonts w:ascii="Verdana" w:eastAsiaTheme="minorEastAsia" w:hAnsi="Verdana"/>
        </w:rPr>
      </w:pPr>
      <w:r w:rsidRPr="00C77BCB">
        <w:rPr>
          <w:rFonts w:ascii="Verdana" w:eastAsiaTheme="minorEastAsia" w:hAnsi="Verdana"/>
        </w:rPr>
        <w:t>our landmark</w:t>
      </w:r>
      <w:r w:rsidR="00E3365C" w:rsidRPr="00C77BCB">
        <w:rPr>
          <w:rFonts w:ascii="Verdana" w:eastAsiaTheme="minorEastAsia" w:hAnsi="Verdana"/>
        </w:rPr>
        <w:t xml:space="preserve"> </w:t>
      </w:r>
      <w:r w:rsidR="00696AB1" w:rsidRPr="00C77BCB">
        <w:rPr>
          <w:rFonts w:ascii="Verdana" w:eastAsiaTheme="minorEastAsia" w:hAnsi="Verdana"/>
        </w:rPr>
        <w:t>G</w:t>
      </w:r>
      <w:r w:rsidR="00E3365C" w:rsidRPr="00C77BCB">
        <w:rPr>
          <w:rFonts w:ascii="Verdana" w:eastAsiaTheme="minorEastAsia" w:hAnsi="Verdana"/>
        </w:rPr>
        <w:t xml:space="preserve">uidance </w:t>
      </w:r>
      <w:r w:rsidR="00A5334A" w:rsidRPr="00C77BCB">
        <w:rPr>
          <w:rFonts w:ascii="Verdana" w:eastAsiaTheme="minorEastAsia" w:hAnsi="Verdana"/>
        </w:rPr>
        <w:t xml:space="preserve">on AI and </w:t>
      </w:r>
      <w:r w:rsidR="00696AB1" w:rsidRPr="00C77BCB">
        <w:rPr>
          <w:rFonts w:ascii="Verdana" w:eastAsiaTheme="minorEastAsia" w:hAnsi="Verdana"/>
        </w:rPr>
        <w:t>D</w:t>
      </w:r>
      <w:r w:rsidR="00A5334A" w:rsidRPr="00C77BCB">
        <w:rPr>
          <w:rFonts w:ascii="Verdana" w:eastAsiaTheme="minorEastAsia" w:hAnsi="Verdana"/>
        </w:rPr>
        <w:t xml:space="preserve">ata </w:t>
      </w:r>
      <w:r w:rsidR="00696AB1" w:rsidRPr="00C77BCB">
        <w:rPr>
          <w:rFonts w:ascii="Verdana" w:eastAsiaTheme="minorEastAsia" w:hAnsi="Verdana"/>
        </w:rPr>
        <w:t>P</w:t>
      </w:r>
      <w:r w:rsidR="00A5334A" w:rsidRPr="00C77BCB">
        <w:rPr>
          <w:rFonts w:ascii="Verdana" w:eastAsiaTheme="minorEastAsia" w:hAnsi="Verdana"/>
        </w:rPr>
        <w:t>rotection</w:t>
      </w:r>
      <w:r w:rsidR="004C5470">
        <w:rPr>
          <w:rStyle w:val="FootnoteReference"/>
          <w:rFonts w:ascii="Verdana" w:eastAsiaTheme="minorEastAsia" w:hAnsi="Verdana"/>
        </w:rPr>
        <w:footnoteReference w:id="5"/>
      </w:r>
      <w:r w:rsidR="00C77BCB">
        <w:rPr>
          <w:rFonts w:ascii="Verdana" w:eastAsiaTheme="minorEastAsia" w:hAnsi="Verdana"/>
        </w:rPr>
        <w:t>;</w:t>
      </w:r>
    </w:p>
    <w:p w14:paraId="3D22326C" w14:textId="7130B9B3" w:rsidR="004C5470" w:rsidRPr="00C77BCB" w:rsidRDefault="00C77BCB" w:rsidP="00DB0446">
      <w:pPr>
        <w:pStyle w:val="ListParagraph"/>
        <w:numPr>
          <w:ilvl w:val="0"/>
          <w:numId w:val="4"/>
        </w:numPr>
        <w:spacing w:after="240" w:line="240" w:lineRule="auto"/>
        <w:ind w:left="993"/>
        <w:rPr>
          <w:rFonts w:ascii="Verdana" w:eastAsiaTheme="minorEastAsia" w:hAnsi="Verdana"/>
        </w:rPr>
      </w:pPr>
      <w:r>
        <w:rPr>
          <w:rFonts w:ascii="Verdana" w:eastAsiaTheme="minorEastAsia" w:hAnsi="Verdana"/>
        </w:rPr>
        <w:t xml:space="preserve">our </w:t>
      </w:r>
      <w:r w:rsidR="00B2563A" w:rsidRPr="00C77BCB">
        <w:rPr>
          <w:rFonts w:ascii="Verdana" w:eastAsiaTheme="minorEastAsia" w:hAnsi="Verdana"/>
        </w:rPr>
        <w:t>accompanying</w:t>
      </w:r>
      <w:r w:rsidR="00A5334A" w:rsidRPr="00C77BCB">
        <w:rPr>
          <w:rFonts w:ascii="Verdana" w:eastAsiaTheme="minorEastAsia" w:hAnsi="Verdana"/>
        </w:rPr>
        <w:t xml:space="preserve"> AI</w:t>
      </w:r>
      <w:r w:rsidR="004C5470" w:rsidRPr="00C77BCB">
        <w:rPr>
          <w:rFonts w:ascii="Verdana" w:eastAsiaTheme="minorEastAsia" w:hAnsi="Verdana"/>
        </w:rPr>
        <w:t xml:space="preserve"> and Data Protection</w:t>
      </w:r>
      <w:r w:rsidR="00A5334A" w:rsidRPr="00C77BCB">
        <w:rPr>
          <w:rFonts w:ascii="Verdana" w:eastAsiaTheme="minorEastAsia" w:hAnsi="Verdana"/>
        </w:rPr>
        <w:t xml:space="preserve"> risk toolkit</w:t>
      </w:r>
      <w:r w:rsidR="004C5470">
        <w:rPr>
          <w:rStyle w:val="FootnoteReference"/>
          <w:rFonts w:ascii="Verdana" w:eastAsiaTheme="minorEastAsia" w:hAnsi="Verdana"/>
        </w:rPr>
        <w:footnoteReference w:id="6"/>
      </w:r>
      <w:r w:rsidR="00A5334A" w:rsidRPr="00C77BCB">
        <w:rPr>
          <w:rFonts w:ascii="Verdana" w:eastAsiaTheme="minorEastAsia" w:hAnsi="Verdana"/>
        </w:rPr>
        <w:t xml:space="preserve"> </w:t>
      </w:r>
      <w:r w:rsidR="004C5470" w:rsidRPr="00C77BCB">
        <w:rPr>
          <w:rFonts w:ascii="Verdana" w:eastAsiaTheme="minorEastAsia" w:hAnsi="Verdana"/>
        </w:rPr>
        <w:t xml:space="preserve">(recently </w:t>
      </w:r>
      <w:r w:rsidR="00A5334A" w:rsidRPr="00C77BCB">
        <w:rPr>
          <w:rFonts w:ascii="Verdana" w:eastAsiaTheme="minorEastAsia" w:hAnsi="Verdana"/>
        </w:rPr>
        <w:t xml:space="preserve">shortlisted </w:t>
      </w:r>
      <w:r w:rsidR="00E53A99" w:rsidRPr="00C77BCB">
        <w:rPr>
          <w:rFonts w:ascii="Verdana" w:eastAsiaTheme="minorEastAsia" w:hAnsi="Verdana"/>
        </w:rPr>
        <w:t xml:space="preserve">in </w:t>
      </w:r>
      <w:r w:rsidR="007965C9" w:rsidRPr="00C77BCB">
        <w:rPr>
          <w:rFonts w:ascii="Verdana" w:eastAsiaTheme="minorEastAsia" w:hAnsi="Verdana"/>
        </w:rPr>
        <w:t xml:space="preserve">the Global Privacy Assembly’s </w:t>
      </w:r>
      <w:r w:rsidR="006E2EDE" w:rsidRPr="00C77BCB">
        <w:rPr>
          <w:rFonts w:ascii="Verdana" w:eastAsiaTheme="minorEastAsia" w:hAnsi="Verdana"/>
        </w:rPr>
        <w:t>G</w:t>
      </w:r>
      <w:r w:rsidR="00E53A99" w:rsidRPr="00C77BCB">
        <w:rPr>
          <w:rFonts w:ascii="Verdana" w:eastAsiaTheme="minorEastAsia" w:hAnsi="Verdana"/>
        </w:rPr>
        <w:t>lobal Privacy and Data Protection A</w:t>
      </w:r>
      <w:r w:rsidR="007965C9" w:rsidRPr="00C77BCB">
        <w:rPr>
          <w:rFonts w:ascii="Verdana" w:eastAsiaTheme="minorEastAsia" w:hAnsi="Verdana"/>
        </w:rPr>
        <w:t>wards</w:t>
      </w:r>
      <w:r w:rsidR="00F23366" w:rsidRPr="004C6BC4">
        <w:rPr>
          <w:rStyle w:val="FootnoteReference"/>
          <w:rFonts w:ascii="Verdana" w:eastAsiaTheme="minorEastAsia" w:hAnsi="Verdana"/>
        </w:rPr>
        <w:footnoteReference w:id="7"/>
      </w:r>
      <w:r w:rsidR="004C5470" w:rsidRPr="00C77BCB">
        <w:rPr>
          <w:rFonts w:ascii="Verdana" w:eastAsiaTheme="minorEastAsia" w:hAnsi="Verdana"/>
        </w:rPr>
        <w:t>)</w:t>
      </w:r>
      <w:r>
        <w:rPr>
          <w:rFonts w:ascii="Verdana" w:eastAsiaTheme="minorEastAsia" w:hAnsi="Verdana"/>
        </w:rPr>
        <w:t>;</w:t>
      </w:r>
    </w:p>
    <w:p w14:paraId="6C42E707" w14:textId="3C4BE415" w:rsidR="004C5470" w:rsidRDefault="004C5470" w:rsidP="00DB0446">
      <w:pPr>
        <w:pStyle w:val="ListParagraph"/>
        <w:numPr>
          <w:ilvl w:val="0"/>
          <w:numId w:val="4"/>
        </w:numPr>
        <w:spacing w:after="240" w:line="240" w:lineRule="auto"/>
        <w:ind w:left="993"/>
        <w:rPr>
          <w:rFonts w:ascii="Verdana" w:eastAsiaTheme="minorEastAsia" w:hAnsi="Verdana"/>
        </w:rPr>
      </w:pPr>
      <w:r>
        <w:rPr>
          <w:rFonts w:ascii="Verdana" w:eastAsiaTheme="minorEastAsia" w:hAnsi="Verdana"/>
        </w:rPr>
        <w:t>our supplementary</w:t>
      </w:r>
      <w:r w:rsidR="00696AB1" w:rsidRPr="004C6BC4">
        <w:rPr>
          <w:rFonts w:ascii="Verdana" w:eastAsiaTheme="minorEastAsia" w:hAnsi="Verdana"/>
        </w:rPr>
        <w:t xml:space="preserve"> guidance on Explaining Decisions Made with AI</w:t>
      </w:r>
      <w:r w:rsidR="00BF477F" w:rsidRPr="004C6BC4">
        <w:rPr>
          <w:rStyle w:val="FootnoteReference"/>
          <w:rFonts w:ascii="Verdana" w:eastAsiaTheme="minorEastAsia" w:hAnsi="Verdana"/>
        </w:rPr>
        <w:footnoteReference w:id="8"/>
      </w:r>
      <w:r w:rsidR="00696AB1" w:rsidRPr="004C6BC4">
        <w:rPr>
          <w:rFonts w:ascii="Verdana" w:eastAsiaTheme="minorEastAsia" w:hAnsi="Verdana"/>
        </w:rPr>
        <w:t xml:space="preserve"> co-badged with the Alan Turing Institute</w:t>
      </w:r>
      <w:r w:rsidR="00C77BCB">
        <w:rPr>
          <w:rFonts w:ascii="Verdana" w:eastAsiaTheme="minorEastAsia" w:hAnsi="Verdana"/>
        </w:rPr>
        <w:t>;</w:t>
      </w:r>
    </w:p>
    <w:p w14:paraId="7E708A7A" w14:textId="5955F801" w:rsidR="004C5470" w:rsidRDefault="004C5470" w:rsidP="00C77BCB">
      <w:pPr>
        <w:pStyle w:val="ListParagraph"/>
        <w:numPr>
          <w:ilvl w:val="0"/>
          <w:numId w:val="4"/>
        </w:numPr>
        <w:spacing w:after="240" w:line="240" w:lineRule="auto"/>
        <w:ind w:left="993"/>
        <w:rPr>
          <w:rFonts w:ascii="Verdana" w:eastAsiaTheme="minorEastAsia" w:hAnsi="Verdana"/>
        </w:rPr>
      </w:pPr>
      <w:r>
        <w:rPr>
          <w:rFonts w:ascii="Verdana" w:eastAsiaTheme="minorEastAsia" w:hAnsi="Verdana"/>
        </w:rPr>
        <w:t>our support for AI innovators through our Regulatory Sandbox and Innovation Hub</w:t>
      </w:r>
      <w:r>
        <w:rPr>
          <w:rStyle w:val="FootnoteReference"/>
          <w:rFonts w:ascii="Verdana" w:eastAsiaTheme="minorEastAsia" w:hAnsi="Verdana"/>
        </w:rPr>
        <w:footnoteReference w:id="9"/>
      </w:r>
      <w:r w:rsidR="00C77BCB">
        <w:rPr>
          <w:rFonts w:ascii="Verdana" w:eastAsiaTheme="minorEastAsia" w:hAnsi="Verdana"/>
        </w:rPr>
        <w:t>;</w:t>
      </w:r>
    </w:p>
    <w:p w14:paraId="5218362C" w14:textId="57372114" w:rsidR="00C77BCB" w:rsidRDefault="00C77BCB" w:rsidP="00DB0446">
      <w:pPr>
        <w:pStyle w:val="ListParagraph"/>
        <w:numPr>
          <w:ilvl w:val="0"/>
          <w:numId w:val="4"/>
        </w:numPr>
        <w:spacing w:after="240" w:line="240" w:lineRule="auto"/>
        <w:ind w:left="993"/>
        <w:rPr>
          <w:rFonts w:ascii="Verdana" w:eastAsiaTheme="minorEastAsia" w:hAnsi="Verdana"/>
        </w:rPr>
      </w:pPr>
      <w:r>
        <w:rPr>
          <w:rFonts w:ascii="Verdana" w:eastAsiaTheme="minorEastAsia" w:hAnsi="Verdana"/>
        </w:rPr>
        <w:t xml:space="preserve">our contribution to </w:t>
      </w:r>
      <w:r w:rsidRPr="004C6BC4">
        <w:rPr>
          <w:rFonts w:ascii="Verdana" w:eastAsiaTheme="minorEastAsia" w:hAnsi="Verdana"/>
        </w:rPr>
        <w:t>standard-setting initiatives as a member of the AI Committee of the British Standard Institution (BSI)</w:t>
      </w:r>
      <w:r>
        <w:rPr>
          <w:rFonts w:ascii="Verdana" w:eastAsiaTheme="minorEastAsia" w:hAnsi="Verdana"/>
        </w:rPr>
        <w:t>; and</w:t>
      </w:r>
    </w:p>
    <w:p w14:paraId="2081A3BE" w14:textId="641C9F32" w:rsidR="00645AB0" w:rsidRPr="00DB0446" w:rsidRDefault="004C5470" w:rsidP="00DB0446">
      <w:pPr>
        <w:pStyle w:val="ListParagraph"/>
        <w:numPr>
          <w:ilvl w:val="0"/>
          <w:numId w:val="4"/>
        </w:numPr>
        <w:spacing w:after="240" w:line="240" w:lineRule="auto"/>
        <w:ind w:left="993"/>
        <w:rPr>
          <w:rFonts w:ascii="Verdana" w:eastAsiaTheme="minorEastAsia" w:hAnsi="Verdana"/>
        </w:rPr>
      </w:pPr>
      <w:r>
        <w:rPr>
          <w:rFonts w:ascii="Verdana" w:eastAsiaTheme="minorEastAsia" w:hAnsi="Verdana"/>
        </w:rPr>
        <w:t xml:space="preserve">our supervision of organisations using AI, including through both proactive audits and investigations. </w:t>
      </w:r>
    </w:p>
    <w:p w14:paraId="371358EF" w14:textId="66A6267C" w:rsidR="00C77BCB" w:rsidRDefault="00AC0645" w:rsidP="00C77BCB">
      <w:pPr>
        <w:pStyle w:val="ListParagraph"/>
        <w:spacing w:after="240" w:line="240" w:lineRule="auto"/>
        <w:ind w:left="567"/>
        <w:contextualSpacing w:val="0"/>
        <w:rPr>
          <w:rFonts w:ascii="Verdana" w:eastAsiaTheme="minorEastAsia" w:hAnsi="Verdana"/>
        </w:rPr>
      </w:pPr>
      <w:r>
        <w:rPr>
          <w:rFonts w:ascii="Verdana" w:eastAsiaTheme="minorEastAsia" w:hAnsi="Verdana"/>
        </w:rPr>
        <w:br/>
      </w:r>
      <w:r w:rsidR="00C77BCB">
        <w:rPr>
          <w:rFonts w:ascii="Verdana" w:eastAsiaTheme="minorEastAsia" w:hAnsi="Verdana"/>
        </w:rPr>
        <w:t>We continue to track developments in AI to ensure that our positions reflect the latest technological opportunities and risks, and have recently established</w:t>
      </w:r>
      <w:r w:rsidR="007965C9" w:rsidRPr="004C6BC4">
        <w:rPr>
          <w:rFonts w:ascii="Verdana" w:eastAsiaTheme="minorEastAsia" w:hAnsi="Verdana"/>
        </w:rPr>
        <w:t xml:space="preserve"> a series of post-doctoral fellowship</w:t>
      </w:r>
      <w:r w:rsidR="00BF477F" w:rsidRPr="004C6BC4">
        <w:rPr>
          <w:rFonts w:ascii="Verdana" w:eastAsiaTheme="minorEastAsia" w:hAnsi="Verdana"/>
        </w:rPr>
        <w:t>s</w:t>
      </w:r>
      <w:r w:rsidR="007965C9" w:rsidRPr="004C6BC4">
        <w:rPr>
          <w:rFonts w:ascii="Verdana" w:eastAsiaTheme="minorEastAsia" w:hAnsi="Verdana"/>
        </w:rPr>
        <w:t xml:space="preserve"> that research issues such as AI and dark patter</w:t>
      </w:r>
      <w:r w:rsidR="00C77BCB">
        <w:rPr>
          <w:rFonts w:ascii="Verdana" w:eastAsiaTheme="minorEastAsia" w:hAnsi="Verdana"/>
        </w:rPr>
        <w:t>n</w:t>
      </w:r>
      <w:r w:rsidR="007965C9" w:rsidRPr="004C6BC4">
        <w:rPr>
          <w:rFonts w:ascii="Verdana" w:eastAsiaTheme="minorEastAsia" w:hAnsi="Verdana"/>
        </w:rPr>
        <w:t>s</w:t>
      </w:r>
      <w:r w:rsidR="0017243B" w:rsidRPr="004C6BC4">
        <w:rPr>
          <w:rFonts w:ascii="Verdana" w:eastAsiaTheme="minorEastAsia" w:hAnsi="Verdana"/>
        </w:rPr>
        <w:t>,</w:t>
      </w:r>
      <w:r w:rsidR="007965C9" w:rsidRPr="004C6BC4">
        <w:rPr>
          <w:rFonts w:ascii="Verdana" w:eastAsiaTheme="minorEastAsia" w:hAnsi="Verdana"/>
        </w:rPr>
        <w:t xml:space="preserve"> or model inference attacks.</w:t>
      </w:r>
      <w:r w:rsidR="00692B19" w:rsidRPr="004C6BC4">
        <w:rPr>
          <w:rStyle w:val="FootnoteReference"/>
          <w:rFonts w:ascii="Verdana" w:eastAsiaTheme="minorEastAsia" w:hAnsi="Verdana"/>
        </w:rPr>
        <w:footnoteReference w:id="10"/>
      </w:r>
      <w:r w:rsidR="00081ECB" w:rsidRPr="004C6BC4">
        <w:rPr>
          <w:rFonts w:ascii="Verdana" w:eastAsiaTheme="minorEastAsia" w:hAnsi="Verdana"/>
        </w:rPr>
        <w:t xml:space="preserve"> </w:t>
      </w:r>
    </w:p>
    <w:p w14:paraId="71A543A7" w14:textId="46D2D072" w:rsidR="006C6ED9" w:rsidRDefault="005E69BD" w:rsidP="006C6ED9">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T</w:t>
      </w:r>
      <w:r w:rsidR="00D528FE">
        <w:rPr>
          <w:rFonts w:ascii="Verdana" w:eastAsiaTheme="minorEastAsia" w:hAnsi="Verdana"/>
        </w:rPr>
        <w:t xml:space="preserve">he ICO </w:t>
      </w:r>
      <w:r w:rsidR="006C6ED9">
        <w:rPr>
          <w:rFonts w:ascii="Verdana" w:eastAsiaTheme="minorEastAsia" w:hAnsi="Verdana"/>
        </w:rPr>
        <w:t xml:space="preserve">recognises the role that other regulators play in governing the use of AI in different sectors or context. We have been at the heart of initiatives to foster greater regulatory coherence and certainty for organisations developing and using AI, both as a founding member of the </w:t>
      </w:r>
      <w:r w:rsidR="006C6ED9" w:rsidRPr="004C6BC4">
        <w:rPr>
          <w:rFonts w:ascii="Verdana" w:eastAsiaTheme="minorEastAsia" w:hAnsi="Verdana"/>
        </w:rPr>
        <w:t xml:space="preserve">Digital Regulation Cooperation Forum (DRCF) </w:t>
      </w:r>
      <w:r w:rsidR="006C6ED9">
        <w:rPr>
          <w:rFonts w:ascii="Verdana" w:eastAsiaTheme="minorEastAsia" w:hAnsi="Verdana"/>
        </w:rPr>
        <w:t>and as the chair of the</w:t>
      </w:r>
      <w:r w:rsidR="006C6ED9" w:rsidRPr="004C6BC4">
        <w:rPr>
          <w:rFonts w:ascii="Verdana" w:eastAsiaTheme="minorEastAsia" w:hAnsi="Verdana"/>
        </w:rPr>
        <w:t xml:space="preserve"> Regulators </w:t>
      </w:r>
      <w:r w:rsidR="006C6ED9" w:rsidRPr="004C6BC4">
        <w:rPr>
          <w:rFonts w:ascii="Verdana" w:eastAsiaTheme="minorEastAsia" w:hAnsi="Verdana"/>
        </w:rPr>
        <w:lastRenderedPageBreak/>
        <w:t>and AI Working Group</w:t>
      </w:r>
      <w:r w:rsidR="006C6ED9">
        <w:rPr>
          <w:rFonts w:ascii="Verdana" w:eastAsiaTheme="minorEastAsia" w:hAnsi="Verdana"/>
        </w:rPr>
        <w:t>,</w:t>
      </w:r>
      <w:r w:rsidR="006C6ED9" w:rsidRPr="004C6BC4">
        <w:rPr>
          <w:rFonts w:ascii="Verdana" w:eastAsiaTheme="minorEastAsia" w:hAnsi="Verdana"/>
        </w:rPr>
        <w:t xml:space="preserve"> which includes 27 UK regulatory authorities.</w:t>
      </w:r>
      <w:r w:rsidR="00C23F78">
        <w:rPr>
          <w:rFonts w:ascii="Verdana" w:eastAsiaTheme="minorEastAsia" w:hAnsi="Verdana"/>
        </w:rPr>
        <w:t xml:space="preserve"> </w:t>
      </w:r>
      <w:r w:rsidR="006A4D74">
        <w:rPr>
          <w:rFonts w:ascii="Verdana" w:eastAsiaTheme="minorEastAsia" w:hAnsi="Verdana"/>
        </w:rPr>
        <w:t xml:space="preserve">As part of our work at the DRCF we have published two discussion papers on </w:t>
      </w:r>
      <w:r w:rsidR="00B43318">
        <w:rPr>
          <w:rFonts w:ascii="Verdana" w:eastAsiaTheme="minorEastAsia" w:hAnsi="Verdana"/>
        </w:rPr>
        <w:t>algorithmic harms and benefits</w:t>
      </w:r>
      <w:r w:rsidR="00B66E5A">
        <w:rPr>
          <w:rFonts w:ascii="Verdana" w:eastAsiaTheme="minorEastAsia" w:hAnsi="Verdana"/>
        </w:rPr>
        <w:t>,</w:t>
      </w:r>
      <w:r w:rsidR="00B66E5A">
        <w:rPr>
          <w:rStyle w:val="FootnoteReference"/>
          <w:rFonts w:ascii="Verdana" w:eastAsiaTheme="minorEastAsia" w:hAnsi="Verdana"/>
        </w:rPr>
        <w:footnoteReference w:id="11"/>
      </w:r>
      <w:r w:rsidR="00B43318">
        <w:rPr>
          <w:rFonts w:ascii="Verdana" w:eastAsiaTheme="minorEastAsia" w:hAnsi="Verdana"/>
        </w:rPr>
        <w:t xml:space="preserve"> and the landscape of AI auditing,</w:t>
      </w:r>
      <w:r w:rsidR="00072341">
        <w:rPr>
          <w:rStyle w:val="FootnoteReference"/>
          <w:rFonts w:ascii="Verdana" w:eastAsiaTheme="minorEastAsia" w:hAnsi="Verdana"/>
        </w:rPr>
        <w:footnoteReference w:id="12"/>
      </w:r>
      <w:r w:rsidR="00B43318">
        <w:rPr>
          <w:rFonts w:ascii="Verdana" w:eastAsiaTheme="minorEastAsia" w:hAnsi="Verdana"/>
        </w:rPr>
        <w:t xml:space="preserve"> </w:t>
      </w:r>
      <w:r w:rsidR="00B11AF2">
        <w:rPr>
          <w:rFonts w:ascii="Verdana" w:eastAsiaTheme="minorEastAsia" w:hAnsi="Verdana"/>
        </w:rPr>
        <w:t xml:space="preserve">while </w:t>
      </w:r>
      <w:r w:rsidR="00B43318">
        <w:rPr>
          <w:rFonts w:ascii="Verdana" w:eastAsiaTheme="minorEastAsia" w:hAnsi="Verdana"/>
        </w:rPr>
        <w:t>continuing to build on that work through our 2022-2022 work programme.</w:t>
      </w:r>
      <w:r w:rsidR="00AC5675">
        <w:rPr>
          <w:rStyle w:val="FootnoteReference"/>
          <w:rFonts w:ascii="Verdana" w:eastAsiaTheme="minorEastAsia" w:hAnsi="Verdana"/>
        </w:rPr>
        <w:footnoteReference w:id="13"/>
      </w:r>
    </w:p>
    <w:p w14:paraId="7806A956" w14:textId="1D684CF2" w:rsidR="00703A46" w:rsidRDefault="00703A46" w:rsidP="00703A46">
      <w:pPr>
        <w:pStyle w:val="Heading2"/>
      </w:pPr>
      <w:r>
        <w:t xml:space="preserve">ICO’s view on </w:t>
      </w:r>
      <w:r w:rsidR="00AB5021">
        <w:t xml:space="preserve">DCMS’s </w:t>
      </w:r>
      <w:r w:rsidR="004F6034">
        <w:t xml:space="preserve">proposed </w:t>
      </w:r>
      <w:r w:rsidR="00EC3C54">
        <w:t xml:space="preserve">approach to AI regulation </w:t>
      </w:r>
      <w:r>
        <w:t xml:space="preserve"> </w:t>
      </w:r>
    </w:p>
    <w:p w14:paraId="2F293F57" w14:textId="0D6D126C" w:rsidR="0025065D" w:rsidRPr="00DB0446" w:rsidRDefault="000F06C7" w:rsidP="004934CE">
      <w:pPr>
        <w:spacing w:after="240" w:line="240" w:lineRule="auto"/>
        <w:rPr>
          <w:rFonts w:ascii="Verdana" w:eastAsiaTheme="minorEastAsia" w:hAnsi="Verdana"/>
          <w:b/>
          <w:bCs/>
          <w:i/>
          <w:iCs/>
        </w:rPr>
      </w:pPr>
      <w:r w:rsidRPr="00DB0446">
        <w:rPr>
          <w:rFonts w:ascii="Verdana" w:eastAsiaTheme="minorEastAsia" w:hAnsi="Verdana"/>
          <w:b/>
          <w:bCs/>
          <w:i/>
          <w:iCs/>
        </w:rPr>
        <w:t>DCMS</w:t>
      </w:r>
      <w:r w:rsidR="00A46FB9" w:rsidRPr="00DB0446">
        <w:rPr>
          <w:rFonts w:ascii="Verdana" w:eastAsiaTheme="minorEastAsia" w:hAnsi="Verdana"/>
          <w:b/>
          <w:bCs/>
          <w:i/>
          <w:iCs/>
        </w:rPr>
        <w:t>’s</w:t>
      </w:r>
      <w:r w:rsidRPr="00DB0446">
        <w:rPr>
          <w:rFonts w:ascii="Verdana" w:eastAsiaTheme="minorEastAsia" w:hAnsi="Verdana"/>
          <w:b/>
          <w:bCs/>
          <w:i/>
          <w:iCs/>
        </w:rPr>
        <w:t xml:space="preserve"> proposed pro-innovation AI framework</w:t>
      </w:r>
    </w:p>
    <w:p w14:paraId="2DC54BD6" w14:textId="32EC298C" w:rsidR="00E62910" w:rsidRDefault="00E62910" w:rsidP="00E62910">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The ICO supports </w:t>
      </w:r>
      <w:r w:rsidR="00DB0446">
        <w:rPr>
          <w:rFonts w:ascii="Verdana" w:eastAsiaTheme="minorEastAsia" w:hAnsi="Verdana"/>
        </w:rPr>
        <w:t>the Government’s</w:t>
      </w:r>
      <w:r w:rsidR="00DB0446" w:rsidRPr="0076798F">
        <w:rPr>
          <w:rFonts w:ascii="Verdana" w:eastAsiaTheme="minorEastAsia" w:hAnsi="Verdana"/>
        </w:rPr>
        <w:t xml:space="preserve"> </w:t>
      </w:r>
      <w:r w:rsidRPr="0076798F">
        <w:rPr>
          <w:rFonts w:ascii="Verdana" w:eastAsiaTheme="minorEastAsia" w:hAnsi="Verdana"/>
        </w:rPr>
        <w:t xml:space="preserve">mission to ensure </w:t>
      </w:r>
      <w:r>
        <w:rPr>
          <w:rFonts w:ascii="Verdana" w:eastAsiaTheme="minorEastAsia" w:hAnsi="Verdana"/>
        </w:rPr>
        <w:t xml:space="preserve">that the </w:t>
      </w:r>
      <w:r w:rsidRPr="0076798F">
        <w:rPr>
          <w:rFonts w:ascii="Verdana" w:eastAsiaTheme="minorEastAsia" w:hAnsi="Verdana"/>
        </w:rPr>
        <w:t xml:space="preserve">UK’s regulatory regime keeps pace with and responds to new challenges and opportunities presented by AI. </w:t>
      </w:r>
      <w:r>
        <w:rPr>
          <w:rFonts w:ascii="Verdana" w:eastAsiaTheme="minorEastAsia" w:hAnsi="Verdana"/>
        </w:rPr>
        <w:t xml:space="preserve">We agree that a </w:t>
      </w:r>
      <w:r w:rsidRPr="00DB0446">
        <w:rPr>
          <w:rFonts w:ascii="Verdana" w:eastAsiaTheme="minorEastAsia" w:hAnsi="Verdana"/>
          <w:b/>
          <w:bCs/>
        </w:rPr>
        <w:t>pro-innovation</w:t>
      </w:r>
      <w:r>
        <w:rPr>
          <w:rFonts w:ascii="Verdana" w:eastAsiaTheme="minorEastAsia" w:hAnsi="Verdana"/>
        </w:rPr>
        <w:t xml:space="preserve"> approach is needed, that seeks to unleash the significant social and economic benefits of AI without compromising on public protections. </w:t>
      </w:r>
    </w:p>
    <w:p w14:paraId="13B860CC" w14:textId="77777777" w:rsidR="004F0C44" w:rsidRPr="00850075" w:rsidRDefault="004F0C44" w:rsidP="004F0C44">
      <w:pPr>
        <w:pStyle w:val="ListParagraph"/>
        <w:numPr>
          <w:ilvl w:val="0"/>
          <w:numId w:val="1"/>
        </w:numPr>
        <w:spacing w:after="240" w:line="240" w:lineRule="auto"/>
        <w:ind w:left="567" w:hanging="567"/>
        <w:contextualSpacing w:val="0"/>
        <w:rPr>
          <w:rFonts w:ascii="Verdana" w:eastAsiaTheme="minorEastAsia" w:hAnsi="Verdana"/>
        </w:rPr>
      </w:pPr>
      <w:r w:rsidRPr="00850075">
        <w:rPr>
          <w:rFonts w:ascii="Verdana" w:eastAsiaTheme="minorEastAsia" w:hAnsi="Verdana"/>
        </w:rPr>
        <w:t xml:space="preserve">We believe </w:t>
      </w:r>
      <w:r w:rsidRPr="00DB0446">
        <w:rPr>
          <w:rFonts w:ascii="Verdana" w:eastAsiaTheme="minorEastAsia" w:hAnsi="Verdana"/>
          <w:b/>
          <w:bCs/>
        </w:rPr>
        <w:t>technology-neutral</w:t>
      </w:r>
      <w:r w:rsidRPr="00850075">
        <w:rPr>
          <w:rFonts w:ascii="Verdana" w:eastAsiaTheme="minorEastAsia" w:hAnsi="Verdana"/>
        </w:rPr>
        <w:t xml:space="preserve"> </w:t>
      </w:r>
      <w:r w:rsidRPr="00DB0446">
        <w:rPr>
          <w:rFonts w:ascii="Verdana" w:eastAsiaTheme="minorEastAsia" w:hAnsi="Verdana"/>
          <w:b/>
          <w:bCs/>
        </w:rPr>
        <w:t>legislation</w:t>
      </w:r>
      <w:r w:rsidRPr="00850075">
        <w:rPr>
          <w:rFonts w:ascii="Verdana" w:eastAsiaTheme="minorEastAsia" w:hAnsi="Verdana"/>
        </w:rPr>
        <w:t xml:space="preserve"> has the advantage of being more future-proof than technology-specific frameworks. In the context of a technology that’s evolving as fast as AI, the risk of a technology-specific regime is it may become obsolete equally fast, creating regulatory gaps. In that context, we agree with the paper’s approach not to regulate the technology itself but the way it is being used and developed. </w:t>
      </w:r>
    </w:p>
    <w:p w14:paraId="1212D875" w14:textId="36A3731D" w:rsidR="00703A46" w:rsidRDefault="004369C6" w:rsidP="00233A32">
      <w:pPr>
        <w:pStyle w:val="ListParagraph"/>
        <w:numPr>
          <w:ilvl w:val="0"/>
          <w:numId w:val="1"/>
        </w:numPr>
        <w:spacing w:after="240" w:line="240" w:lineRule="auto"/>
        <w:ind w:left="567" w:hanging="567"/>
        <w:contextualSpacing w:val="0"/>
        <w:rPr>
          <w:rFonts w:ascii="Verdana" w:eastAsiaTheme="minorEastAsia" w:hAnsi="Verdana"/>
        </w:rPr>
      </w:pPr>
      <w:r w:rsidRPr="00817A88">
        <w:rPr>
          <w:rFonts w:ascii="Verdana" w:eastAsiaTheme="minorEastAsia" w:hAnsi="Verdana"/>
        </w:rPr>
        <w:t xml:space="preserve">We </w:t>
      </w:r>
      <w:r w:rsidR="00063824" w:rsidRPr="00817A88">
        <w:rPr>
          <w:rFonts w:ascii="Verdana" w:eastAsiaTheme="minorEastAsia" w:hAnsi="Verdana"/>
        </w:rPr>
        <w:t xml:space="preserve">agree with paper’s view that </w:t>
      </w:r>
      <w:r w:rsidR="00AC0645">
        <w:rPr>
          <w:rFonts w:ascii="Verdana" w:eastAsiaTheme="minorEastAsia" w:hAnsi="Verdana"/>
        </w:rPr>
        <w:t>the</w:t>
      </w:r>
      <w:r w:rsidR="00AC0645" w:rsidRPr="00817A88">
        <w:rPr>
          <w:rFonts w:ascii="Verdana" w:eastAsiaTheme="minorEastAsia" w:hAnsi="Verdana"/>
        </w:rPr>
        <w:t xml:space="preserve"> </w:t>
      </w:r>
      <w:r w:rsidR="006B384C" w:rsidRPr="00817A88">
        <w:rPr>
          <w:rFonts w:ascii="Verdana" w:eastAsiaTheme="minorEastAsia" w:hAnsi="Verdana"/>
        </w:rPr>
        <w:t xml:space="preserve">regulatory approach to AI should be </w:t>
      </w:r>
      <w:r w:rsidR="006B384C" w:rsidRPr="00DB0446">
        <w:rPr>
          <w:rFonts w:ascii="Verdana" w:eastAsiaTheme="minorEastAsia" w:hAnsi="Verdana"/>
          <w:b/>
          <w:bCs/>
        </w:rPr>
        <w:t>context-specific</w:t>
      </w:r>
      <w:r w:rsidR="000A05EB">
        <w:rPr>
          <w:rFonts w:ascii="Verdana" w:eastAsiaTheme="minorEastAsia" w:hAnsi="Verdana"/>
        </w:rPr>
        <w:t>.</w:t>
      </w:r>
      <w:r w:rsidR="0023173C" w:rsidRPr="00817A88">
        <w:rPr>
          <w:rFonts w:ascii="Verdana" w:eastAsiaTheme="minorEastAsia" w:hAnsi="Verdana"/>
        </w:rPr>
        <w:t xml:space="preserve"> </w:t>
      </w:r>
      <w:r w:rsidR="000A05EB">
        <w:rPr>
          <w:rFonts w:ascii="Verdana" w:eastAsiaTheme="minorEastAsia" w:hAnsi="Verdana"/>
        </w:rPr>
        <w:t xml:space="preserve">This aligns </w:t>
      </w:r>
      <w:r w:rsidR="00D10E14">
        <w:rPr>
          <w:rFonts w:ascii="Verdana" w:eastAsiaTheme="minorEastAsia" w:hAnsi="Verdana"/>
        </w:rPr>
        <w:t xml:space="preserve">with the regulatory approach found in data protection law. </w:t>
      </w:r>
      <w:r w:rsidR="000A05EB">
        <w:rPr>
          <w:rFonts w:ascii="Verdana" w:eastAsiaTheme="minorEastAsia" w:hAnsi="Verdana"/>
        </w:rPr>
        <w:t>Context</w:t>
      </w:r>
      <w:r w:rsidR="0040788C" w:rsidRPr="00817A88">
        <w:rPr>
          <w:rFonts w:ascii="Verdana" w:eastAsiaTheme="minorEastAsia" w:hAnsi="Verdana"/>
        </w:rPr>
        <w:t xml:space="preserve"> determines the risks that arise for data subjects</w:t>
      </w:r>
      <w:r w:rsidR="000A05EB">
        <w:rPr>
          <w:rFonts w:ascii="Verdana" w:eastAsiaTheme="minorEastAsia" w:hAnsi="Verdana"/>
        </w:rPr>
        <w:t>, the extent to which these can be balanced against the interests of data controllers and</w:t>
      </w:r>
      <w:r w:rsidR="007B5C30" w:rsidRPr="00817A88">
        <w:rPr>
          <w:rFonts w:ascii="Verdana" w:eastAsiaTheme="minorEastAsia" w:hAnsi="Verdana"/>
        </w:rPr>
        <w:t xml:space="preserve"> the explanations that </w:t>
      </w:r>
      <w:r w:rsidR="00C75A50" w:rsidRPr="00817A88">
        <w:rPr>
          <w:rFonts w:ascii="Verdana" w:eastAsiaTheme="minorEastAsia" w:hAnsi="Verdana"/>
        </w:rPr>
        <w:t>will be useful</w:t>
      </w:r>
      <w:r w:rsidR="000A05EB">
        <w:rPr>
          <w:rFonts w:ascii="Verdana" w:eastAsiaTheme="minorEastAsia" w:hAnsi="Verdana"/>
        </w:rPr>
        <w:t xml:space="preserve"> for data subjects</w:t>
      </w:r>
      <w:r w:rsidR="00C75A50" w:rsidRPr="00817A88">
        <w:rPr>
          <w:rStyle w:val="FootnoteReference"/>
          <w:rFonts w:ascii="Verdana" w:eastAsiaTheme="minorEastAsia" w:hAnsi="Verdana"/>
        </w:rPr>
        <w:footnoteReference w:id="14"/>
      </w:r>
      <w:r w:rsidR="000A05EB">
        <w:rPr>
          <w:rFonts w:ascii="Verdana" w:eastAsiaTheme="minorEastAsia" w:hAnsi="Verdana"/>
        </w:rPr>
        <w:t>. It is also relevant</w:t>
      </w:r>
      <w:r w:rsidR="00F048D4">
        <w:rPr>
          <w:rFonts w:ascii="Verdana" w:eastAsiaTheme="minorEastAsia" w:hAnsi="Verdana"/>
        </w:rPr>
        <w:t xml:space="preserve"> for a</w:t>
      </w:r>
      <w:r w:rsidR="00C75A50">
        <w:rPr>
          <w:rFonts w:ascii="Verdana" w:eastAsiaTheme="minorEastAsia" w:hAnsi="Verdana"/>
        </w:rPr>
        <w:t xml:space="preserve"> variety of other data protection considerations</w:t>
      </w:r>
      <w:r w:rsidR="00F048D4">
        <w:rPr>
          <w:rFonts w:ascii="Verdana" w:eastAsiaTheme="minorEastAsia" w:hAnsi="Verdana"/>
        </w:rPr>
        <w:t xml:space="preserve"> such as impact assessments. </w:t>
      </w:r>
    </w:p>
    <w:p w14:paraId="08E74383" w14:textId="74E8A739" w:rsidR="009060D2" w:rsidRPr="005A703D" w:rsidRDefault="00D10E14" w:rsidP="0006525A">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We</w:t>
      </w:r>
      <w:r w:rsidR="00022CAF">
        <w:rPr>
          <w:rFonts w:ascii="Verdana" w:eastAsiaTheme="minorEastAsia" w:hAnsi="Verdana"/>
        </w:rPr>
        <w:t xml:space="preserve"> </w:t>
      </w:r>
      <w:r>
        <w:rPr>
          <w:rFonts w:ascii="Verdana" w:eastAsiaTheme="minorEastAsia" w:hAnsi="Verdana"/>
        </w:rPr>
        <w:t xml:space="preserve">similarly </w:t>
      </w:r>
      <w:r w:rsidR="00022CAF" w:rsidRPr="00817A88">
        <w:rPr>
          <w:rFonts w:ascii="Verdana" w:eastAsiaTheme="minorEastAsia" w:hAnsi="Verdana"/>
        </w:rPr>
        <w:t xml:space="preserve">support a </w:t>
      </w:r>
      <w:r w:rsidR="00022CAF" w:rsidRPr="00DB0446">
        <w:rPr>
          <w:rFonts w:ascii="Verdana" w:eastAsiaTheme="minorEastAsia" w:hAnsi="Verdana"/>
          <w:b/>
          <w:bCs/>
        </w:rPr>
        <w:t>risk-based</w:t>
      </w:r>
      <w:r w:rsidR="00022CAF" w:rsidRPr="00817A88">
        <w:rPr>
          <w:rFonts w:ascii="Verdana" w:eastAsiaTheme="minorEastAsia" w:hAnsi="Verdana"/>
        </w:rPr>
        <w:t xml:space="preserve"> </w:t>
      </w:r>
      <w:r>
        <w:rPr>
          <w:rFonts w:ascii="Verdana" w:eastAsiaTheme="minorEastAsia" w:hAnsi="Verdana"/>
        </w:rPr>
        <w:t xml:space="preserve">regulatory </w:t>
      </w:r>
      <w:r w:rsidR="00022CAF" w:rsidRPr="00817A88">
        <w:rPr>
          <w:rFonts w:ascii="Verdana" w:eastAsiaTheme="minorEastAsia" w:hAnsi="Verdana"/>
        </w:rPr>
        <w:t>approach</w:t>
      </w:r>
      <w:r>
        <w:rPr>
          <w:rFonts w:ascii="Verdana" w:eastAsiaTheme="minorEastAsia" w:hAnsi="Verdana"/>
        </w:rPr>
        <w:t xml:space="preserve"> to AI, which aligns with that found in data protection law</w:t>
      </w:r>
      <w:r w:rsidR="00022CAF" w:rsidRPr="00817A88">
        <w:rPr>
          <w:rFonts w:ascii="Verdana" w:eastAsiaTheme="minorEastAsia" w:hAnsi="Verdana"/>
        </w:rPr>
        <w:t xml:space="preserve">. </w:t>
      </w:r>
      <w:r w:rsidR="008E24F4" w:rsidRPr="00817A88">
        <w:rPr>
          <w:rFonts w:ascii="Verdana" w:eastAsiaTheme="minorEastAsia" w:hAnsi="Verdana"/>
        </w:rPr>
        <w:t>In the evaluation of risk data protection</w:t>
      </w:r>
      <w:r w:rsidR="00692B19" w:rsidRPr="00817A88">
        <w:rPr>
          <w:rFonts w:ascii="Verdana" w:eastAsiaTheme="minorEastAsia" w:hAnsi="Verdana"/>
        </w:rPr>
        <w:t xml:space="preserve"> </w:t>
      </w:r>
      <w:r w:rsidR="008E24F4" w:rsidRPr="00817A88">
        <w:rPr>
          <w:rFonts w:ascii="Verdana" w:eastAsiaTheme="minorEastAsia" w:hAnsi="Verdana"/>
        </w:rPr>
        <w:t>considers both the severity</w:t>
      </w:r>
      <w:r w:rsidR="008E24F4">
        <w:rPr>
          <w:rFonts w:ascii="Verdana" w:eastAsiaTheme="minorEastAsia" w:hAnsi="Verdana"/>
        </w:rPr>
        <w:t xml:space="preserve"> and the likelihood of risk. </w:t>
      </w:r>
      <w:r>
        <w:rPr>
          <w:rFonts w:ascii="Verdana" w:eastAsiaTheme="minorEastAsia" w:hAnsi="Verdana"/>
        </w:rPr>
        <w:t xml:space="preserve">We </w:t>
      </w:r>
      <w:r w:rsidR="005E20BB">
        <w:rPr>
          <w:rFonts w:ascii="Verdana" w:eastAsiaTheme="minorEastAsia" w:hAnsi="Verdana"/>
        </w:rPr>
        <w:t>agree</w:t>
      </w:r>
      <w:r>
        <w:rPr>
          <w:rFonts w:ascii="Verdana" w:eastAsiaTheme="minorEastAsia" w:hAnsi="Verdana"/>
        </w:rPr>
        <w:t xml:space="preserve"> that</w:t>
      </w:r>
      <w:r w:rsidR="005E20BB">
        <w:rPr>
          <w:rFonts w:ascii="Verdana" w:eastAsiaTheme="minorEastAsia" w:hAnsi="Verdana"/>
        </w:rPr>
        <w:t xml:space="preserve"> priority should be given to high-risk applications</w:t>
      </w:r>
      <w:r w:rsidR="0006525A">
        <w:rPr>
          <w:rFonts w:ascii="Verdana" w:eastAsiaTheme="minorEastAsia" w:hAnsi="Verdana"/>
        </w:rPr>
        <w:t xml:space="preserve"> and note the importance of horizon-scanning to identify future risks. The </w:t>
      </w:r>
      <w:r w:rsidR="005A703D" w:rsidRPr="005A703D">
        <w:rPr>
          <w:rFonts w:ascii="Verdana" w:eastAsiaTheme="minorEastAsia" w:hAnsi="Verdana"/>
        </w:rPr>
        <w:t>DRCF</w:t>
      </w:r>
      <w:r w:rsidR="00F7385D">
        <w:rPr>
          <w:rFonts w:ascii="Verdana" w:eastAsiaTheme="minorEastAsia" w:hAnsi="Verdana"/>
        </w:rPr>
        <w:t>’s</w:t>
      </w:r>
      <w:r w:rsidR="003221E0" w:rsidRPr="005A703D">
        <w:rPr>
          <w:rFonts w:ascii="Verdana" w:eastAsiaTheme="minorEastAsia" w:hAnsi="Verdana"/>
        </w:rPr>
        <w:t xml:space="preserve"> discussion paper of algorithmic harms and benefits seeks to </w:t>
      </w:r>
      <w:r w:rsidR="006B3D94" w:rsidRPr="005A703D">
        <w:rPr>
          <w:rFonts w:ascii="Verdana" w:eastAsiaTheme="minorEastAsia" w:hAnsi="Verdana"/>
        </w:rPr>
        <w:t>identify those kinds of risks.</w:t>
      </w:r>
      <w:r w:rsidR="00AC6550" w:rsidRPr="005A703D">
        <w:rPr>
          <w:rFonts w:ascii="Verdana" w:eastAsiaTheme="minorEastAsia" w:hAnsi="Verdana"/>
        </w:rPr>
        <w:t xml:space="preserve"> </w:t>
      </w:r>
      <w:r w:rsidR="00C12F63" w:rsidRPr="005A703D">
        <w:rPr>
          <w:rFonts w:ascii="Verdana" w:eastAsiaTheme="minorEastAsia" w:hAnsi="Verdana"/>
        </w:rPr>
        <w:t xml:space="preserve"> </w:t>
      </w:r>
    </w:p>
    <w:p w14:paraId="7A4953F6" w14:textId="73D9DF0E" w:rsidR="00D87EB1" w:rsidRDefault="0006525A" w:rsidP="00233A32">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We support the objective </w:t>
      </w:r>
      <w:r w:rsidR="00E62910">
        <w:rPr>
          <w:rFonts w:ascii="Verdana" w:eastAsiaTheme="minorEastAsia" w:hAnsi="Verdana"/>
        </w:rPr>
        <w:t xml:space="preserve">of improving </w:t>
      </w:r>
      <w:r w:rsidR="00E62910" w:rsidRPr="00DB0446">
        <w:rPr>
          <w:rFonts w:ascii="Verdana" w:eastAsiaTheme="minorEastAsia" w:hAnsi="Verdana"/>
          <w:b/>
          <w:bCs/>
        </w:rPr>
        <w:t>r</w:t>
      </w:r>
      <w:r w:rsidR="006B3D94" w:rsidRPr="00DB0446">
        <w:rPr>
          <w:rFonts w:ascii="Verdana" w:eastAsiaTheme="minorEastAsia" w:hAnsi="Verdana"/>
          <w:b/>
          <w:bCs/>
        </w:rPr>
        <w:t>egulatory coherence</w:t>
      </w:r>
      <w:r w:rsidR="006B3D94" w:rsidRPr="00817A88">
        <w:rPr>
          <w:rFonts w:ascii="Verdana" w:eastAsiaTheme="minorEastAsia" w:hAnsi="Verdana"/>
        </w:rPr>
        <w:t xml:space="preserve"> </w:t>
      </w:r>
      <w:r w:rsidR="00E62910">
        <w:rPr>
          <w:rFonts w:ascii="Verdana" w:eastAsiaTheme="minorEastAsia" w:hAnsi="Verdana"/>
        </w:rPr>
        <w:t>for AI developers and users, which is a</w:t>
      </w:r>
      <w:r w:rsidR="006B3D94" w:rsidRPr="00817A88">
        <w:rPr>
          <w:rFonts w:ascii="Verdana" w:eastAsiaTheme="minorEastAsia" w:hAnsi="Verdana"/>
        </w:rPr>
        <w:t xml:space="preserve"> priority for the ICO as well. </w:t>
      </w:r>
      <w:r w:rsidR="000F06C7" w:rsidRPr="00817A88">
        <w:rPr>
          <w:rFonts w:ascii="Verdana" w:eastAsiaTheme="minorEastAsia" w:hAnsi="Verdana"/>
        </w:rPr>
        <w:t>As already mentioned, t</w:t>
      </w:r>
      <w:r w:rsidR="0043194D" w:rsidRPr="00817A88">
        <w:rPr>
          <w:rFonts w:ascii="Verdana" w:eastAsiaTheme="minorEastAsia" w:hAnsi="Verdana"/>
        </w:rPr>
        <w:t xml:space="preserve">he Regulators and AI Working Group we founded </w:t>
      </w:r>
      <w:r w:rsidR="00EA2BEF" w:rsidRPr="00817A88">
        <w:rPr>
          <w:rFonts w:ascii="Verdana" w:eastAsiaTheme="minorEastAsia" w:hAnsi="Verdana"/>
        </w:rPr>
        <w:t xml:space="preserve">has been nurturing information sharing among </w:t>
      </w:r>
      <w:r w:rsidR="00941CC3" w:rsidRPr="00817A88">
        <w:rPr>
          <w:rFonts w:ascii="Verdana" w:eastAsiaTheme="minorEastAsia" w:hAnsi="Verdana"/>
        </w:rPr>
        <w:t>members</w:t>
      </w:r>
      <w:r w:rsidR="00EA2BEF" w:rsidRPr="00817A88">
        <w:rPr>
          <w:rFonts w:ascii="Verdana" w:eastAsiaTheme="minorEastAsia" w:hAnsi="Verdana"/>
        </w:rPr>
        <w:t xml:space="preserve"> since 20</w:t>
      </w:r>
      <w:r w:rsidR="008B72A7" w:rsidRPr="00817A88">
        <w:rPr>
          <w:rFonts w:ascii="Verdana" w:eastAsiaTheme="minorEastAsia" w:hAnsi="Verdana"/>
        </w:rPr>
        <w:t>19</w:t>
      </w:r>
      <w:r w:rsidR="004B1AC5" w:rsidRPr="00817A88">
        <w:rPr>
          <w:rFonts w:ascii="Verdana" w:eastAsiaTheme="minorEastAsia" w:hAnsi="Verdana"/>
        </w:rPr>
        <w:t xml:space="preserve">, while </w:t>
      </w:r>
      <w:r w:rsidR="00EA2BEF" w:rsidRPr="00817A88">
        <w:rPr>
          <w:rFonts w:ascii="Verdana" w:eastAsiaTheme="minorEastAsia" w:hAnsi="Verdana"/>
        </w:rPr>
        <w:t xml:space="preserve">our joint projects with the CMA, FCA and Ofcom as part of DRCF’s Algorithmic </w:t>
      </w:r>
      <w:r w:rsidR="00EA2BEF" w:rsidRPr="00817A88">
        <w:rPr>
          <w:rFonts w:ascii="Verdana" w:eastAsiaTheme="minorEastAsia" w:hAnsi="Verdana"/>
        </w:rPr>
        <w:lastRenderedPageBreak/>
        <w:t xml:space="preserve">Processing project </w:t>
      </w:r>
      <w:r w:rsidR="00D87EB1" w:rsidRPr="00817A88">
        <w:rPr>
          <w:rFonts w:ascii="Verdana" w:eastAsiaTheme="minorEastAsia" w:hAnsi="Verdana"/>
        </w:rPr>
        <w:t>are seeking</w:t>
      </w:r>
      <w:r w:rsidR="00D87EB1">
        <w:rPr>
          <w:rFonts w:ascii="Verdana" w:eastAsiaTheme="minorEastAsia" w:hAnsi="Verdana"/>
        </w:rPr>
        <w:t xml:space="preserve"> to align AI policy thinking </w:t>
      </w:r>
      <w:r w:rsidR="004B1AC5">
        <w:rPr>
          <w:rFonts w:ascii="Verdana" w:eastAsiaTheme="minorEastAsia" w:hAnsi="Verdana"/>
        </w:rPr>
        <w:t>and</w:t>
      </w:r>
      <w:r w:rsidR="00D87EB1">
        <w:rPr>
          <w:rFonts w:ascii="Verdana" w:eastAsiaTheme="minorEastAsia" w:hAnsi="Verdana"/>
        </w:rPr>
        <w:t xml:space="preserve"> provide more clarity and certainty to industry on AI regulation</w:t>
      </w:r>
      <w:r w:rsidR="00224098">
        <w:rPr>
          <w:rFonts w:ascii="Verdana" w:eastAsiaTheme="minorEastAsia" w:hAnsi="Verdana"/>
        </w:rPr>
        <w:t xml:space="preserve">. </w:t>
      </w:r>
      <w:r w:rsidR="00224098" w:rsidRPr="00224098">
        <w:rPr>
          <w:rFonts w:ascii="Verdana" w:eastAsiaTheme="minorEastAsia" w:hAnsi="Verdana"/>
        </w:rPr>
        <w:t xml:space="preserve">We welcome DCMS’s </w:t>
      </w:r>
      <w:r w:rsidR="00224098">
        <w:rPr>
          <w:rFonts w:ascii="Verdana" w:eastAsiaTheme="minorEastAsia" w:hAnsi="Verdana"/>
        </w:rPr>
        <w:t>acknowledgement of our work at the DRCF.</w:t>
      </w:r>
    </w:p>
    <w:p w14:paraId="2965E79A" w14:textId="1311E7F4" w:rsidR="00703A46" w:rsidRPr="00181A0C" w:rsidRDefault="00132BF1" w:rsidP="00181A0C">
      <w:pPr>
        <w:pStyle w:val="ListParagraph"/>
        <w:numPr>
          <w:ilvl w:val="0"/>
          <w:numId w:val="1"/>
        </w:numPr>
        <w:spacing w:after="240" w:line="240" w:lineRule="auto"/>
        <w:ind w:left="567" w:hanging="567"/>
        <w:contextualSpacing w:val="0"/>
        <w:rPr>
          <w:rFonts w:ascii="Verdana" w:eastAsiaTheme="minorEastAsia" w:hAnsi="Verdana"/>
        </w:rPr>
      </w:pPr>
      <w:r w:rsidRPr="00181A0C">
        <w:rPr>
          <w:rFonts w:ascii="Verdana" w:eastAsiaTheme="minorEastAsia" w:hAnsi="Verdana"/>
        </w:rPr>
        <w:t xml:space="preserve">Similarly, we support the emphasis on </w:t>
      </w:r>
      <w:r w:rsidRPr="00DB0446">
        <w:rPr>
          <w:rFonts w:ascii="Verdana" w:eastAsiaTheme="minorEastAsia" w:hAnsi="Verdana"/>
          <w:b/>
          <w:bCs/>
        </w:rPr>
        <w:t>proportionality</w:t>
      </w:r>
      <w:r w:rsidRPr="00181A0C">
        <w:rPr>
          <w:rFonts w:ascii="Verdana" w:eastAsiaTheme="minorEastAsia" w:hAnsi="Verdana"/>
        </w:rPr>
        <w:t xml:space="preserve">. </w:t>
      </w:r>
      <w:r w:rsidR="00865258" w:rsidRPr="00181A0C">
        <w:rPr>
          <w:rFonts w:ascii="Verdana" w:eastAsiaTheme="minorEastAsia" w:hAnsi="Verdana"/>
        </w:rPr>
        <w:t xml:space="preserve">In </w:t>
      </w:r>
      <w:r w:rsidRPr="00181A0C">
        <w:rPr>
          <w:rFonts w:ascii="Verdana" w:eastAsiaTheme="minorEastAsia" w:hAnsi="Verdana"/>
        </w:rPr>
        <w:t xml:space="preserve">the </w:t>
      </w:r>
      <w:r w:rsidR="00865258" w:rsidRPr="00181A0C">
        <w:rPr>
          <w:rFonts w:ascii="Verdana" w:eastAsiaTheme="minorEastAsia" w:hAnsi="Verdana"/>
        </w:rPr>
        <w:t xml:space="preserve">ICO25 Action Plan the Commissioner has committed to </w:t>
      </w:r>
      <w:r w:rsidR="00771C5F" w:rsidRPr="00181A0C">
        <w:rPr>
          <w:rFonts w:ascii="Verdana" w:eastAsiaTheme="minorEastAsia" w:hAnsi="Verdana"/>
        </w:rPr>
        <w:t>place proportionality at the centre</w:t>
      </w:r>
      <w:r w:rsidR="00E34738" w:rsidRPr="00181A0C">
        <w:rPr>
          <w:rFonts w:ascii="Verdana" w:eastAsiaTheme="minorEastAsia" w:hAnsi="Verdana"/>
        </w:rPr>
        <w:t xml:space="preserve"> </w:t>
      </w:r>
      <w:r w:rsidR="00771C5F" w:rsidRPr="00181A0C">
        <w:rPr>
          <w:rFonts w:ascii="Verdana" w:eastAsiaTheme="minorEastAsia" w:hAnsi="Verdana"/>
        </w:rPr>
        <w:t xml:space="preserve">of </w:t>
      </w:r>
      <w:r w:rsidRPr="00181A0C">
        <w:rPr>
          <w:rFonts w:ascii="Verdana" w:eastAsiaTheme="minorEastAsia" w:hAnsi="Verdana"/>
        </w:rPr>
        <w:t xml:space="preserve">the ICO’s </w:t>
      </w:r>
      <w:r w:rsidR="00E34738" w:rsidRPr="00181A0C">
        <w:rPr>
          <w:rFonts w:ascii="Verdana" w:eastAsiaTheme="minorEastAsia" w:hAnsi="Verdana"/>
        </w:rPr>
        <w:t>advice</w:t>
      </w:r>
      <w:r w:rsidR="00771C5F" w:rsidRPr="00181A0C">
        <w:rPr>
          <w:rFonts w:ascii="Verdana" w:eastAsiaTheme="minorEastAsia" w:hAnsi="Verdana"/>
        </w:rPr>
        <w:t xml:space="preserve">, </w:t>
      </w:r>
      <w:r w:rsidR="00E34738" w:rsidRPr="00181A0C">
        <w:rPr>
          <w:rFonts w:ascii="Verdana" w:eastAsiaTheme="minorEastAsia" w:hAnsi="Verdana"/>
        </w:rPr>
        <w:t xml:space="preserve">guidance </w:t>
      </w:r>
      <w:r w:rsidR="00771C5F" w:rsidRPr="00181A0C">
        <w:rPr>
          <w:rFonts w:ascii="Verdana" w:eastAsiaTheme="minorEastAsia" w:hAnsi="Verdana"/>
        </w:rPr>
        <w:t>and enforcement</w:t>
      </w:r>
      <w:r w:rsidR="00A46FB9" w:rsidRPr="00181A0C">
        <w:rPr>
          <w:rFonts w:ascii="Verdana" w:eastAsiaTheme="minorEastAsia" w:hAnsi="Verdana"/>
        </w:rPr>
        <w:t>.</w:t>
      </w:r>
      <w:r w:rsidRPr="00181A0C">
        <w:rPr>
          <w:rFonts w:ascii="Verdana" w:eastAsiaTheme="minorEastAsia" w:hAnsi="Verdana"/>
        </w:rPr>
        <w:t xml:space="preserve"> </w:t>
      </w:r>
      <w:r w:rsidR="00181A0C" w:rsidRPr="00181A0C">
        <w:rPr>
          <w:rFonts w:ascii="Verdana" w:eastAsiaTheme="minorEastAsia" w:hAnsi="Verdana"/>
        </w:rPr>
        <w:t xml:space="preserve">We recognise that many organisations are trying to do the right thing and that the reputational and real-world risks of any AI-derived harms act as incentives to drive good behaviour. </w:t>
      </w:r>
      <w:r w:rsidRPr="00181A0C">
        <w:rPr>
          <w:rFonts w:ascii="Verdana" w:eastAsiaTheme="minorEastAsia" w:hAnsi="Verdana"/>
        </w:rPr>
        <w:t xml:space="preserve">We </w:t>
      </w:r>
      <w:r w:rsidR="00DD2561" w:rsidRPr="00181A0C">
        <w:rPr>
          <w:rFonts w:ascii="Verdana" w:eastAsiaTheme="minorEastAsia" w:hAnsi="Verdana"/>
        </w:rPr>
        <w:t xml:space="preserve">have prioritised a ‘light-touch’ approach to regulation, using agile tools such as guidance to give direction to well-intentioned actors, while reserving regulatory penalties for repeated offenders and bad actors. </w:t>
      </w:r>
      <w:r w:rsidR="00181A0C">
        <w:rPr>
          <w:rFonts w:ascii="Verdana" w:eastAsiaTheme="minorEastAsia" w:hAnsi="Verdana"/>
        </w:rPr>
        <w:t>We support the development and use of codes of conduct and</w:t>
      </w:r>
      <w:r w:rsidR="00181A0C" w:rsidRPr="008412D6">
        <w:rPr>
          <w:rFonts w:ascii="Verdana" w:eastAsiaTheme="minorEastAsia" w:hAnsi="Verdana"/>
        </w:rPr>
        <w:t xml:space="preserve"> certification mechanisms as a means to enhance transparency and compliance with the UK GDPR. </w:t>
      </w:r>
    </w:p>
    <w:p w14:paraId="6F0477B1" w14:textId="77777777" w:rsidR="004F0C44" w:rsidRPr="00DB0446" w:rsidRDefault="004F0C44" w:rsidP="004F0C44">
      <w:pPr>
        <w:pStyle w:val="Heading2"/>
        <w:rPr>
          <w:rFonts w:ascii="Verdana" w:hAnsi="Verdana"/>
          <w:b/>
          <w:bCs/>
          <w:i/>
          <w:iCs/>
          <w:color w:val="auto"/>
          <w:sz w:val="22"/>
          <w:szCs w:val="22"/>
        </w:rPr>
      </w:pPr>
      <w:r w:rsidRPr="00DB0446">
        <w:rPr>
          <w:rFonts w:ascii="Verdana" w:hAnsi="Verdana"/>
          <w:b/>
          <w:bCs/>
          <w:i/>
          <w:iCs/>
          <w:color w:val="auto"/>
          <w:sz w:val="22"/>
          <w:szCs w:val="22"/>
        </w:rPr>
        <w:t>DCMS’ proposed cross-sectoral principles</w:t>
      </w:r>
    </w:p>
    <w:p w14:paraId="5A91863E" w14:textId="649C5DC1" w:rsidR="00DD2F69" w:rsidRDefault="00DD2F69" w:rsidP="00DD2F69">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We agree with DCMS that the rich tapestry of UK regulation has not been developed with AI as it focus. That of course does not mean that it doesn’t </w:t>
      </w:r>
      <w:r w:rsidRPr="00850075">
        <w:rPr>
          <w:rFonts w:ascii="Verdana" w:eastAsiaTheme="minorEastAsia" w:hAnsi="Verdana"/>
        </w:rPr>
        <w:t>apply to it but</w:t>
      </w:r>
      <w:r w:rsidR="00AC0645">
        <w:rPr>
          <w:rFonts w:ascii="Verdana" w:eastAsiaTheme="minorEastAsia" w:hAnsi="Verdana"/>
        </w:rPr>
        <w:t>,</w:t>
      </w:r>
      <w:r w:rsidRPr="00850075">
        <w:rPr>
          <w:rFonts w:ascii="Verdana" w:eastAsiaTheme="minorEastAsia" w:hAnsi="Verdana"/>
        </w:rPr>
        <w:t xml:space="preserve"> like every new technology or service, existing frameworks need to be translated in an AI context. </w:t>
      </w:r>
    </w:p>
    <w:p w14:paraId="1970A961" w14:textId="7633FCD8" w:rsidR="004F0C44" w:rsidRPr="00DD2F69" w:rsidRDefault="004F0C44" w:rsidP="00DD2F69">
      <w:pPr>
        <w:pStyle w:val="ListParagraph"/>
        <w:numPr>
          <w:ilvl w:val="0"/>
          <w:numId w:val="1"/>
        </w:numPr>
        <w:spacing w:after="240" w:line="240" w:lineRule="auto"/>
        <w:ind w:left="567" w:hanging="567"/>
        <w:contextualSpacing w:val="0"/>
        <w:rPr>
          <w:rFonts w:ascii="Verdana" w:eastAsiaTheme="minorEastAsia" w:hAnsi="Verdana"/>
        </w:rPr>
      </w:pPr>
      <w:r w:rsidRPr="00DD2F69">
        <w:rPr>
          <w:rFonts w:ascii="Verdana" w:eastAsiaTheme="minorEastAsia" w:hAnsi="Verdana"/>
        </w:rPr>
        <w:t xml:space="preserve">We </w:t>
      </w:r>
      <w:r w:rsidR="00DD2F69" w:rsidRPr="00DD2F69">
        <w:rPr>
          <w:rFonts w:ascii="Verdana" w:eastAsiaTheme="minorEastAsia" w:hAnsi="Verdana"/>
        </w:rPr>
        <w:t xml:space="preserve">support the intent to develop an overarching set of principles that frame the regulation and governance of AI, with the intention of building greater regulatory coherence. </w:t>
      </w:r>
      <w:r w:rsidR="006033B2">
        <w:rPr>
          <w:rFonts w:ascii="Verdana" w:eastAsiaTheme="minorEastAsia" w:hAnsi="Verdana"/>
        </w:rPr>
        <w:t xml:space="preserve">We agree with the paper that the OECD principles on AI are a useful reference point. </w:t>
      </w:r>
      <w:r w:rsidR="00DD2F69" w:rsidRPr="00DD2F69">
        <w:rPr>
          <w:rFonts w:ascii="Verdana" w:eastAsiaTheme="minorEastAsia" w:hAnsi="Verdana"/>
        </w:rPr>
        <w:t xml:space="preserve">We </w:t>
      </w:r>
      <w:r w:rsidRPr="00DD2F69">
        <w:rPr>
          <w:rFonts w:ascii="Verdana" w:eastAsiaTheme="minorEastAsia" w:hAnsi="Verdana"/>
        </w:rPr>
        <w:t xml:space="preserve">agree with the </w:t>
      </w:r>
      <w:r w:rsidR="006033B2">
        <w:rPr>
          <w:rFonts w:ascii="Verdana" w:eastAsiaTheme="minorEastAsia" w:hAnsi="Verdana"/>
        </w:rPr>
        <w:t>paper’s</w:t>
      </w:r>
      <w:r w:rsidRPr="00DD2F69">
        <w:rPr>
          <w:rFonts w:ascii="Verdana" w:eastAsiaTheme="minorEastAsia" w:hAnsi="Verdana"/>
        </w:rPr>
        <w:t xml:space="preserve"> suggestion that any cross-sectoral principles set out in the upcoming AI White Paper should be interpreted and implemented in practice by </w:t>
      </w:r>
      <w:r w:rsidR="006033B2">
        <w:rPr>
          <w:rFonts w:ascii="Verdana" w:eastAsiaTheme="minorEastAsia" w:hAnsi="Verdana"/>
        </w:rPr>
        <w:t xml:space="preserve">the </w:t>
      </w:r>
      <w:r w:rsidRPr="00DD2F69">
        <w:rPr>
          <w:rFonts w:ascii="Verdana" w:eastAsiaTheme="minorEastAsia" w:hAnsi="Verdana"/>
        </w:rPr>
        <w:t xml:space="preserve">UK’s existing regulators. </w:t>
      </w:r>
    </w:p>
    <w:p w14:paraId="3DE9673D" w14:textId="1B07712F" w:rsidR="004F0C44" w:rsidRPr="00DB0446" w:rsidRDefault="004F0C44" w:rsidP="006033B2">
      <w:pPr>
        <w:pStyle w:val="ListParagraph"/>
        <w:numPr>
          <w:ilvl w:val="0"/>
          <w:numId w:val="1"/>
        </w:numPr>
        <w:spacing w:after="240" w:line="240" w:lineRule="auto"/>
        <w:ind w:left="567" w:hanging="567"/>
        <w:contextualSpacing w:val="0"/>
        <w:rPr>
          <w:rFonts w:ascii="Verdana" w:eastAsiaTheme="minorEastAsia" w:hAnsi="Verdana"/>
        </w:rPr>
      </w:pPr>
      <w:r w:rsidRPr="006033B2">
        <w:rPr>
          <w:rFonts w:ascii="Verdana" w:eastAsiaTheme="minorEastAsia" w:hAnsi="Verdana"/>
        </w:rPr>
        <w:t xml:space="preserve">The policy paper suggests the proposed principles will be non-statutory, with </w:t>
      </w:r>
      <w:r w:rsidR="00DB0446">
        <w:rPr>
          <w:rFonts w:ascii="Verdana" w:eastAsiaTheme="minorEastAsia" w:hAnsi="Verdana"/>
        </w:rPr>
        <w:t>the Government</w:t>
      </w:r>
      <w:r w:rsidR="00DB0446" w:rsidRPr="006033B2">
        <w:rPr>
          <w:rFonts w:ascii="Verdana" w:eastAsiaTheme="minorEastAsia" w:hAnsi="Verdana"/>
        </w:rPr>
        <w:t xml:space="preserve"> </w:t>
      </w:r>
      <w:r w:rsidRPr="006033B2">
        <w:rPr>
          <w:rFonts w:ascii="Verdana" w:eastAsiaTheme="minorEastAsia" w:hAnsi="Verdana"/>
        </w:rPr>
        <w:t xml:space="preserve">reserving the right to review their legal status. It will be crucial to ensure any new framework, statutory or not, does not create regulatory confusion among industry and the public. </w:t>
      </w:r>
      <w:r w:rsidR="00DD2F69" w:rsidRPr="006033B2">
        <w:rPr>
          <w:rFonts w:ascii="Verdana" w:eastAsiaTheme="minorEastAsia" w:hAnsi="Verdana"/>
        </w:rPr>
        <w:t xml:space="preserve">In practice, some of the proposed principles already have a statutory basis – </w:t>
      </w:r>
      <w:r w:rsidR="00284F70" w:rsidRPr="006033B2">
        <w:rPr>
          <w:rFonts w:ascii="Verdana" w:eastAsiaTheme="minorEastAsia" w:hAnsi="Verdana"/>
        </w:rPr>
        <w:t xml:space="preserve">with several constituting </w:t>
      </w:r>
      <w:r w:rsidRPr="00DB0446">
        <w:rPr>
          <w:rFonts w:ascii="Verdana" w:eastAsiaTheme="minorEastAsia" w:hAnsi="Verdana"/>
        </w:rPr>
        <w:t xml:space="preserve">legal obligations under data protection law for all users and developers of AI that process personal data. For example, transparency and fairness are foundational data protection principles set out in Article 5 of UK GDPR, while Article 22 provides mechanisms for redress and contestability in the context of solely automated decision-making. </w:t>
      </w:r>
    </w:p>
    <w:p w14:paraId="063AFBDA" w14:textId="5E84D9DA" w:rsidR="002C14A2" w:rsidRDefault="002C14A2" w:rsidP="004F0C44">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Detailed analysis is needed of the existing statutory provisions that operationalise the</w:t>
      </w:r>
      <w:r w:rsidR="006033B2">
        <w:rPr>
          <w:rFonts w:ascii="Verdana" w:eastAsiaTheme="minorEastAsia" w:hAnsi="Verdana"/>
        </w:rPr>
        <w:t xml:space="preserve"> proposed cross-sectoral</w:t>
      </w:r>
      <w:r>
        <w:rPr>
          <w:rFonts w:ascii="Verdana" w:eastAsiaTheme="minorEastAsia" w:hAnsi="Verdana"/>
        </w:rPr>
        <w:t xml:space="preserve"> principles and any important gaps or overlaps between regulators. We would welcome the opportunity to discuss with </w:t>
      </w:r>
      <w:r w:rsidR="00DB0446">
        <w:rPr>
          <w:rFonts w:ascii="Verdana" w:eastAsiaTheme="minorEastAsia" w:hAnsi="Verdana"/>
        </w:rPr>
        <w:t xml:space="preserve">the Government </w:t>
      </w:r>
      <w:r>
        <w:rPr>
          <w:rFonts w:ascii="Verdana" w:eastAsiaTheme="minorEastAsia" w:hAnsi="Verdana"/>
        </w:rPr>
        <w:t xml:space="preserve">how such gaps or overlaps could be addressed, with the ambition of making it easier for organisations to understand their responsibilities and reducing the costs of </w:t>
      </w:r>
      <w:r w:rsidR="00A87B4D">
        <w:rPr>
          <w:rFonts w:ascii="Verdana" w:eastAsiaTheme="minorEastAsia" w:hAnsi="Verdana"/>
        </w:rPr>
        <w:t xml:space="preserve">regulation. </w:t>
      </w:r>
    </w:p>
    <w:p w14:paraId="35A6CA26" w14:textId="5E524818" w:rsidR="00C23F78" w:rsidRDefault="00A87B4D" w:rsidP="004F0C44">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Irrespective of the balance of responsibilities across regulators, regulatory cooperation will continue to be essential. </w:t>
      </w:r>
      <w:r w:rsidR="00C23F78" w:rsidRPr="00DB0446">
        <w:rPr>
          <w:rFonts w:ascii="Verdana" w:eastAsiaTheme="minorEastAsia" w:hAnsi="Verdana"/>
        </w:rPr>
        <w:t xml:space="preserve">While </w:t>
      </w:r>
      <w:r w:rsidR="00DB0446">
        <w:rPr>
          <w:rFonts w:ascii="Verdana" w:eastAsiaTheme="minorEastAsia" w:hAnsi="Verdana"/>
        </w:rPr>
        <w:t>the Government</w:t>
      </w:r>
      <w:r w:rsidR="00DB0446" w:rsidRPr="00DB0446">
        <w:rPr>
          <w:rFonts w:ascii="Verdana" w:eastAsiaTheme="minorEastAsia" w:hAnsi="Verdana"/>
        </w:rPr>
        <w:t xml:space="preserve"> </w:t>
      </w:r>
      <w:r w:rsidR="00C23F78" w:rsidRPr="00DB0446">
        <w:rPr>
          <w:rFonts w:ascii="Verdana" w:eastAsiaTheme="minorEastAsia" w:hAnsi="Verdana"/>
        </w:rPr>
        <w:t xml:space="preserve">can play an important role, genuine cooperation will need to be led and implemented by </w:t>
      </w:r>
      <w:r w:rsidR="00C23F78" w:rsidRPr="00DB0446">
        <w:rPr>
          <w:rFonts w:ascii="Verdana" w:eastAsiaTheme="minorEastAsia" w:hAnsi="Verdana"/>
        </w:rPr>
        <w:lastRenderedPageBreak/>
        <w:t xml:space="preserve">regulators themselves, based on strong relationships, shared analysis and insight and joint working. </w:t>
      </w:r>
      <w:r>
        <w:rPr>
          <w:rFonts w:ascii="Verdana" w:eastAsiaTheme="minorEastAsia" w:hAnsi="Verdana"/>
        </w:rPr>
        <w:t xml:space="preserve">The ICO is committed to promoting regulatory coherence through the DRCF and the Regulators and AI Working Group and </w:t>
      </w:r>
      <w:r w:rsidRPr="00850075">
        <w:rPr>
          <w:rFonts w:ascii="Verdana" w:eastAsiaTheme="minorEastAsia" w:hAnsi="Verdana"/>
        </w:rPr>
        <w:t xml:space="preserve">to sharing </w:t>
      </w:r>
      <w:r w:rsidR="006033B2">
        <w:rPr>
          <w:rFonts w:ascii="Verdana" w:eastAsiaTheme="minorEastAsia" w:hAnsi="Verdana"/>
        </w:rPr>
        <w:t>our</w:t>
      </w:r>
      <w:r w:rsidRPr="00850075">
        <w:rPr>
          <w:rFonts w:ascii="Verdana" w:eastAsiaTheme="minorEastAsia" w:hAnsi="Verdana"/>
        </w:rPr>
        <w:t xml:space="preserve"> learnings and thinking on AI regulation with the broader UK regulatory community.</w:t>
      </w:r>
      <w:r w:rsidR="00C23F78">
        <w:rPr>
          <w:rFonts w:ascii="Verdana" w:eastAsiaTheme="minorEastAsia" w:hAnsi="Verdana"/>
        </w:rPr>
        <w:t xml:space="preserve"> </w:t>
      </w:r>
    </w:p>
    <w:p w14:paraId="6F91B48D" w14:textId="105F3863" w:rsidR="00F628CA" w:rsidRPr="00DB0446" w:rsidRDefault="000267B5" w:rsidP="004F0C44">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I</w:t>
      </w:r>
      <w:r w:rsidR="00F628CA">
        <w:rPr>
          <w:rFonts w:ascii="Verdana" w:eastAsiaTheme="minorEastAsia" w:hAnsi="Verdana"/>
        </w:rPr>
        <w:t xml:space="preserve">t will </w:t>
      </w:r>
      <w:r>
        <w:rPr>
          <w:rFonts w:ascii="Verdana" w:eastAsiaTheme="minorEastAsia" w:hAnsi="Verdana"/>
        </w:rPr>
        <w:t xml:space="preserve">also </w:t>
      </w:r>
      <w:r w:rsidR="00F628CA">
        <w:rPr>
          <w:rFonts w:ascii="Verdana" w:eastAsiaTheme="minorEastAsia" w:hAnsi="Verdana"/>
        </w:rPr>
        <w:t xml:space="preserve">be important to minimise friction where possible between the UK’s regulatory approach and that </w:t>
      </w:r>
      <w:r>
        <w:rPr>
          <w:rFonts w:ascii="Verdana" w:eastAsiaTheme="minorEastAsia" w:hAnsi="Verdana"/>
        </w:rPr>
        <w:t>of other international</w:t>
      </w:r>
      <w:r w:rsidR="00F628CA">
        <w:rPr>
          <w:rFonts w:ascii="Verdana" w:eastAsiaTheme="minorEastAsia" w:hAnsi="Verdana"/>
        </w:rPr>
        <w:t xml:space="preserve"> actors (e.g. the EU’s AI Act)</w:t>
      </w:r>
      <w:r w:rsidRPr="00DB0446">
        <w:rPr>
          <w:rFonts w:ascii="Verdana" w:eastAsiaTheme="minorEastAsia" w:hAnsi="Verdana"/>
        </w:rPr>
        <w:t>, so UK firms developing AI can export their innovative products but also import the data and infrastructure that underpin their products freely. The ICO is already an active member of a variety of international fora, from the Global Privacy Assembly to the G7, where we promote the UK’s approach to data protection but also AI more specifically.</w:t>
      </w:r>
    </w:p>
    <w:p w14:paraId="00919DC7" w14:textId="112AED42" w:rsidR="00C932C7" w:rsidRPr="00C932C7" w:rsidRDefault="00C932C7" w:rsidP="00C932C7">
      <w:pPr>
        <w:spacing w:after="240" w:line="240" w:lineRule="auto"/>
        <w:rPr>
          <w:rFonts w:ascii="Georgia" w:eastAsiaTheme="minorEastAsia" w:hAnsi="Georgia"/>
          <w:color w:val="1F4E79" w:themeColor="accent5" w:themeShade="80"/>
          <w:sz w:val="32"/>
          <w:szCs w:val="32"/>
        </w:rPr>
      </w:pPr>
      <w:r w:rsidRPr="00C932C7">
        <w:rPr>
          <w:rFonts w:ascii="Georgia" w:eastAsiaTheme="minorEastAsia" w:hAnsi="Georgia"/>
          <w:color w:val="1F4E79" w:themeColor="accent5" w:themeShade="80"/>
          <w:sz w:val="32"/>
          <w:szCs w:val="32"/>
        </w:rPr>
        <w:t>Conclusion</w:t>
      </w:r>
    </w:p>
    <w:p w14:paraId="2731F049" w14:textId="5A724FBE" w:rsidR="00C932C7" w:rsidRDefault="00B9127E" w:rsidP="00B9127E">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The </w:t>
      </w:r>
      <w:r w:rsidR="000267B5">
        <w:rPr>
          <w:rFonts w:ascii="Verdana" w:eastAsiaTheme="minorEastAsia" w:hAnsi="Verdana"/>
        </w:rPr>
        <w:t>ICO</w:t>
      </w:r>
      <w:r w:rsidR="000267B5" w:rsidRPr="002207D4">
        <w:rPr>
          <w:rFonts w:ascii="Verdana" w:eastAsiaTheme="minorEastAsia" w:hAnsi="Verdana"/>
        </w:rPr>
        <w:t xml:space="preserve"> </w:t>
      </w:r>
      <w:r w:rsidRPr="002207D4">
        <w:rPr>
          <w:rFonts w:ascii="Verdana" w:eastAsiaTheme="minorEastAsia" w:hAnsi="Verdana"/>
        </w:rPr>
        <w:t>support</w:t>
      </w:r>
      <w:r>
        <w:rPr>
          <w:rFonts w:ascii="Verdana" w:eastAsiaTheme="minorEastAsia" w:hAnsi="Verdana"/>
        </w:rPr>
        <w:t>s</w:t>
      </w:r>
      <w:r w:rsidRPr="002207D4">
        <w:rPr>
          <w:rFonts w:ascii="Verdana" w:eastAsiaTheme="minorEastAsia" w:hAnsi="Verdana"/>
        </w:rPr>
        <w:t xml:space="preserve"> </w:t>
      </w:r>
      <w:r w:rsidR="00DB0446">
        <w:rPr>
          <w:rFonts w:ascii="Verdana" w:eastAsiaTheme="minorEastAsia" w:hAnsi="Verdana"/>
        </w:rPr>
        <w:t>the Government’s</w:t>
      </w:r>
      <w:r w:rsidR="00DB0446" w:rsidRPr="002207D4">
        <w:rPr>
          <w:rFonts w:ascii="Verdana" w:eastAsiaTheme="minorEastAsia" w:hAnsi="Verdana"/>
        </w:rPr>
        <w:t xml:space="preserve"> </w:t>
      </w:r>
      <w:r w:rsidRPr="002207D4">
        <w:rPr>
          <w:rFonts w:ascii="Verdana" w:eastAsiaTheme="minorEastAsia" w:hAnsi="Verdana"/>
        </w:rPr>
        <w:t>vision to make the UK the best place in the world to found and grow an AI business and translate AI’s potential into growth and societal benefits</w:t>
      </w:r>
      <w:r>
        <w:rPr>
          <w:rFonts w:ascii="Verdana" w:eastAsiaTheme="minorEastAsia" w:hAnsi="Verdana"/>
        </w:rPr>
        <w:t xml:space="preserve">. </w:t>
      </w:r>
      <w:r w:rsidRPr="002F4AFD">
        <w:rPr>
          <w:rFonts w:ascii="Verdana" w:eastAsiaTheme="minorEastAsia" w:hAnsi="Verdana"/>
        </w:rPr>
        <w:t xml:space="preserve">The </w:t>
      </w:r>
      <w:r>
        <w:rPr>
          <w:rFonts w:ascii="Verdana" w:eastAsiaTheme="minorEastAsia" w:hAnsi="Verdana"/>
        </w:rPr>
        <w:t xml:space="preserve">current, </w:t>
      </w:r>
      <w:r w:rsidRPr="002F4AFD">
        <w:rPr>
          <w:rFonts w:ascii="Verdana" w:eastAsiaTheme="minorEastAsia" w:hAnsi="Verdana"/>
        </w:rPr>
        <w:t>thriving AI ecosystem in the UK is a testament to how innovation</w:t>
      </w:r>
      <w:r>
        <w:rPr>
          <w:rFonts w:ascii="Verdana" w:eastAsiaTheme="minorEastAsia" w:hAnsi="Verdana"/>
        </w:rPr>
        <w:t>-</w:t>
      </w:r>
      <w:r w:rsidRPr="002F4AFD">
        <w:rPr>
          <w:rFonts w:ascii="Verdana" w:eastAsiaTheme="minorEastAsia" w:hAnsi="Verdana"/>
        </w:rPr>
        <w:t>friendly regulation already is.</w:t>
      </w:r>
    </w:p>
    <w:p w14:paraId="10ED18EC" w14:textId="70BA6048" w:rsidR="00A43A7C" w:rsidRPr="000267B5" w:rsidRDefault="00B9537F" w:rsidP="000267B5">
      <w:pPr>
        <w:pStyle w:val="ListParagraph"/>
        <w:numPr>
          <w:ilvl w:val="0"/>
          <w:numId w:val="1"/>
        </w:numPr>
        <w:spacing w:after="240" w:line="240" w:lineRule="auto"/>
        <w:ind w:left="567" w:hanging="567"/>
        <w:contextualSpacing w:val="0"/>
        <w:rPr>
          <w:rFonts w:ascii="Verdana" w:eastAsiaTheme="minorEastAsia" w:hAnsi="Verdana"/>
        </w:rPr>
      </w:pPr>
      <w:r>
        <w:rPr>
          <w:rFonts w:ascii="Verdana" w:eastAsiaTheme="minorEastAsia" w:hAnsi="Verdana"/>
        </w:rPr>
        <w:t xml:space="preserve">We </w:t>
      </w:r>
      <w:r w:rsidR="00701482">
        <w:rPr>
          <w:rFonts w:ascii="Verdana" w:eastAsiaTheme="minorEastAsia" w:hAnsi="Verdana"/>
        </w:rPr>
        <w:t xml:space="preserve">agree an approach to AI governance should be context-specific, risk-based, coherent, proportionate and adaptable. </w:t>
      </w:r>
      <w:r w:rsidR="000267B5" w:rsidRPr="000267B5">
        <w:rPr>
          <w:rFonts w:ascii="Verdana" w:eastAsiaTheme="minorEastAsia" w:hAnsi="Verdana"/>
        </w:rPr>
        <w:t xml:space="preserve">We support the development of a set of principles for the regulation of AI and stand ready to support </w:t>
      </w:r>
      <w:r w:rsidR="00DB0446">
        <w:rPr>
          <w:rFonts w:ascii="Verdana" w:eastAsiaTheme="minorEastAsia" w:hAnsi="Verdana"/>
        </w:rPr>
        <w:t>the Government</w:t>
      </w:r>
      <w:r w:rsidR="00DB0446" w:rsidRPr="000267B5">
        <w:rPr>
          <w:rFonts w:ascii="Verdana" w:eastAsiaTheme="minorEastAsia" w:hAnsi="Verdana"/>
        </w:rPr>
        <w:t xml:space="preserve"> </w:t>
      </w:r>
      <w:r w:rsidR="000267B5" w:rsidRPr="000267B5">
        <w:rPr>
          <w:rFonts w:ascii="Verdana" w:eastAsiaTheme="minorEastAsia" w:hAnsi="Verdana"/>
        </w:rPr>
        <w:t>in achieving</w:t>
      </w:r>
      <w:r w:rsidR="009F7983" w:rsidRPr="000267B5">
        <w:rPr>
          <w:rFonts w:ascii="Verdana" w:eastAsiaTheme="minorEastAsia" w:hAnsi="Verdana"/>
        </w:rPr>
        <w:t xml:space="preserve"> the delicate </w:t>
      </w:r>
      <w:r w:rsidR="00EC51A3" w:rsidRPr="000267B5">
        <w:rPr>
          <w:rFonts w:ascii="Verdana" w:eastAsiaTheme="minorEastAsia" w:hAnsi="Verdana"/>
        </w:rPr>
        <w:t>balance</w:t>
      </w:r>
      <w:r w:rsidR="00E93E40" w:rsidRPr="000267B5">
        <w:rPr>
          <w:rFonts w:ascii="Verdana" w:eastAsiaTheme="minorEastAsia" w:hAnsi="Verdana"/>
        </w:rPr>
        <w:t xml:space="preserve"> of</w:t>
      </w:r>
      <w:r w:rsidR="006434C4" w:rsidRPr="000267B5">
        <w:rPr>
          <w:rFonts w:ascii="Verdana" w:eastAsiaTheme="minorEastAsia" w:hAnsi="Verdana"/>
        </w:rPr>
        <w:t xml:space="preserve"> </w:t>
      </w:r>
      <w:r w:rsidR="000D3CA3" w:rsidRPr="000267B5">
        <w:rPr>
          <w:rFonts w:ascii="Verdana" w:eastAsiaTheme="minorEastAsia" w:hAnsi="Verdana"/>
        </w:rPr>
        <w:t>improving</w:t>
      </w:r>
      <w:r w:rsidR="006434C4" w:rsidRPr="000267B5">
        <w:rPr>
          <w:rFonts w:ascii="Verdana" w:eastAsiaTheme="minorEastAsia" w:hAnsi="Verdana"/>
        </w:rPr>
        <w:t xml:space="preserve"> coherence while </w:t>
      </w:r>
      <w:r w:rsidR="00C34E83" w:rsidRPr="000267B5">
        <w:rPr>
          <w:rFonts w:ascii="Verdana" w:eastAsiaTheme="minorEastAsia" w:hAnsi="Verdana"/>
        </w:rPr>
        <w:t>accounting for the intricacies of specifics domains and mandates.</w:t>
      </w:r>
      <w:r w:rsidR="000267B5" w:rsidRPr="000267B5">
        <w:rPr>
          <w:rFonts w:ascii="Verdana" w:eastAsiaTheme="minorEastAsia" w:hAnsi="Verdana"/>
        </w:rPr>
        <w:t xml:space="preserve"> </w:t>
      </w:r>
      <w:r w:rsidR="00A43A7C" w:rsidRPr="000267B5">
        <w:rPr>
          <w:rFonts w:ascii="Verdana" w:eastAsiaTheme="minorEastAsia" w:hAnsi="Verdana"/>
        </w:rPr>
        <w:t xml:space="preserve">We look forward to providing more feedback </w:t>
      </w:r>
      <w:r w:rsidR="000267B5">
        <w:rPr>
          <w:rFonts w:ascii="Verdana" w:eastAsiaTheme="minorEastAsia" w:hAnsi="Verdana"/>
        </w:rPr>
        <w:t xml:space="preserve">ahead of </w:t>
      </w:r>
      <w:r w:rsidR="00DB0446">
        <w:rPr>
          <w:rFonts w:ascii="Verdana" w:eastAsiaTheme="minorEastAsia" w:hAnsi="Verdana"/>
        </w:rPr>
        <w:t>the Government’s</w:t>
      </w:r>
      <w:r w:rsidR="00DB0446" w:rsidRPr="000267B5">
        <w:rPr>
          <w:rFonts w:ascii="Verdana" w:eastAsiaTheme="minorEastAsia" w:hAnsi="Verdana"/>
        </w:rPr>
        <w:t xml:space="preserve"> </w:t>
      </w:r>
      <w:r w:rsidR="00A43A7C" w:rsidRPr="000267B5">
        <w:rPr>
          <w:rFonts w:ascii="Verdana" w:eastAsiaTheme="minorEastAsia" w:hAnsi="Verdana"/>
        </w:rPr>
        <w:t>upcoming White Paper</w:t>
      </w:r>
      <w:r w:rsidR="002E43B8" w:rsidRPr="000267B5">
        <w:rPr>
          <w:rFonts w:ascii="Verdana" w:eastAsiaTheme="minorEastAsia" w:hAnsi="Verdana"/>
        </w:rPr>
        <w:t xml:space="preserve"> on AI governance and regulation. </w:t>
      </w:r>
    </w:p>
    <w:p w14:paraId="1CAECF07" w14:textId="0F9646A1" w:rsidR="002207D4" w:rsidRDefault="002207D4"/>
    <w:p w14:paraId="66C87DB2" w14:textId="77777777" w:rsidR="002207D4" w:rsidRDefault="002207D4"/>
    <w:sectPr w:rsidR="002207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0E64" w14:textId="77777777" w:rsidR="00DA69D4" w:rsidRDefault="00DA69D4" w:rsidP="009A28D0">
      <w:pPr>
        <w:spacing w:after="0" w:line="240" w:lineRule="auto"/>
      </w:pPr>
      <w:r>
        <w:separator/>
      </w:r>
    </w:p>
  </w:endnote>
  <w:endnote w:type="continuationSeparator" w:id="0">
    <w:p w14:paraId="01FD7020" w14:textId="77777777" w:rsidR="00DA69D4" w:rsidRDefault="00DA69D4" w:rsidP="009A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D81B" w14:textId="77777777" w:rsidR="00DA69D4" w:rsidRDefault="00DA69D4" w:rsidP="009A28D0">
      <w:pPr>
        <w:spacing w:after="0" w:line="240" w:lineRule="auto"/>
      </w:pPr>
      <w:r>
        <w:separator/>
      </w:r>
    </w:p>
  </w:footnote>
  <w:footnote w:type="continuationSeparator" w:id="0">
    <w:p w14:paraId="7AB53050" w14:textId="77777777" w:rsidR="00DA69D4" w:rsidRDefault="00DA69D4" w:rsidP="009A28D0">
      <w:pPr>
        <w:spacing w:after="0" w:line="240" w:lineRule="auto"/>
      </w:pPr>
      <w:r>
        <w:continuationSeparator/>
      </w:r>
    </w:p>
  </w:footnote>
  <w:footnote w:id="1">
    <w:p w14:paraId="4673F24A" w14:textId="3E89782A" w:rsidR="00610D27" w:rsidRDefault="00610D27">
      <w:pPr>
        <w:pStyle w:val="FootnoteText"/>
      </w:pPr>
      <w:r>
        <w:rPr>
          <w:rStyle w:val="FootnoteReference"/>
        </w:rPr>
        <w:footnoteRef/>
      </w:r>
      <w:r>
        <w:t xml:space="preserve"> </w:t>
      </w:r>
      <w:hyperlink r:id="rId1" w:history="1">
        <w:r w:rsidRPr="00724E3F">
          <w:rPr>
            <w:rStyle w:val="Hyperlink"/>
          </w:rPr>
          <w:t>https://bills.parliament.uk/bills/3322</w:t>
        </w:r>
      </w:hyperlink>
      <w:r>
        <w:t xml:space="preserve"> </w:t>
      </w:r>
    </w:p>
  </w:footnote>
  <w:footnote w:id="2">
    <w:p w14:paraId="1E24CF57" w14:textId="77777777" w:rsidR="00645AB0" w:rsidRDefault="00645AB0" w:rsidP="00645AB0">
      <w:pPr>
        <w:pStyle w:val="FootnoteText"/>
      </w:pPr>
      <w:r>
        <w:rPr>
          <w:rStyle w:val="FootnoteReference"/>
        </w:rPr>
        <w:footnoteRef/>
      </w:r>
      <w:r>
        <w:t xml:space="preserve"> </w:t>
      </w:r>
      <w:hyperlink r:id="rId2" w:anchor="the_principles" w:history="1">
        <w:r w:rsidRPr="00724E3F">
          <w:rPr>
            <w:rStyle w:val="Hyperlink"/>
          </w:rPr>
          <w:t>https://ico.org.uk/for-organisations/guide-to-data-protection/guide-to-the-general-data-protection-regulation-gdpr/principles/#the_principles</w:t>
        </w:r>
      </w:hyperlink>
      <w:r>
        <w:t xml:space="preserve"> </w:t>
      </w:r>
    </w:p>
  </w:footnote>
  <w:footnote w:id="3">
    <w:p w14:paraId="799F6954" w14:textId="7B093EFE" w:rsidR="00CE0DAA" w:rsidRDefault="00CE0DAA">
      <w:pPr>
        <w:pStyle w:val="FootnoteText"/>
      </w:pPr>
      <w:r>
        <w:rPr>
          <w:rStyle w:val="FootnoteReference"/>
        </w:rPr>
        <w:footnoteRef/>
      </w:r>
      <w:r>
        <w:t xml:space="preserve"> </w:t>
      </w:r>
      <w:hyperlink r:id="rId3" w:history="1">
        <w:r w:rsidRPr="00724E3F">
          <w:rPr>
            <w:rStyle w:val="Hyperlink"/>
          </w:rPr>
          <w:t>https://ico.org.uk/media/about-the-ico/documents/4020926/ico25-plan-for-consultation-20221407-v1_0.pdf</w:t>
        </w:r>
      </w:hyperlink>
      <w:r>
        <w:t xml:space="preserve"> </w:t>
      </w:r>
    </w:p>
  </w:footnote>
  <w:footnote w:id="4">
    <w:p w14:paraId="096E7F73" w14:textId="379F1CFA" w:rsidR="000D65C8" w:rsidRDefault="000D65C8">
      <w:pPr>
        <w:pStyle w:val="FootnoteText"/>
      </w:pPr>
      <w:r>
        <w:rPr>
          <w:rStyle w:val="FootnoteReference"/>
        </w:rPr>
        <w:footnoteRef/>
      </w:r>
      <w:r>
        <w:t xml:space="preserve"> </w:t>
      </w:r>
      <w:r>
        <w:rPr>
          <w:rFonts w:eastAsiaTheme="minorEastAsia"/>
        </w:rPr>
        <w:t xml:space="preserve">The ICO will soon </w:t>
      </w:r>
      <w:r w:rsidR="00837043">
        <w:rPr>
          <w:rFonts w:eastAsiaTheme="minorEastAsia"/>
        </w:rPr>
        <w:t xml:space="preserve">update the fairness component of the existing Guidance on AI and Data Protection with the aim of assisting </w:t>
      </w:r>
      <w:r w:rsidR="00350112">
        <w:rPr>
          <w:rFonts w:eastAsiaTheme="minorEastAsia"/>
        </w:rPr>
        <w:t xml:space="preserve">organisations tackle such issues. </w:t>
      </w:r>
    </w:p>
  </w:footnote>
  <w:footnote w:id="5">
    <w:p w14:paraId="33ECABAE" w14:textId="233819EF" w:rsidR="004C5470" w:rsidRDefault="004C5470">
      <w:pPr>
        <w:pStyle w:val="FootnoteText"/>
      </w:pPr>
      <w:r>
        <w:rPr>
          <w:rStyle w:val="FootnoteReference"/>
        </w:rPr>
        <w:footnoteRef/>
      </w:r>
      <w:r>
        <w:t xml:space="preserve"> </w:t>
      </w:r>
      <w:hyperlink r:id="rId4" w:history="1">
        <w:r w:rsidR="00425A06" w:rsidRPr="001D6B3C">
          <w:rPr>
            <w:rStyle w:val="Hyperlink"/>
          </w:rPr>
          <w:t>https://ico.org.uk/for-organisations/guide-to-data-protection/key-dp-themes/guidance-on-ai-and-data-protection</w:t>
        </w:r>
      </w:hyperlink>
      <w:r w:rsidR="00425A06">
        <w:t xml:space="preserve"> </w:t>
      </w:r>
    </w:p>
  </w:footnote>
  <w:footnote w:id="6">
    <w:p w14:paraId="6E38CBB2" w14:textId="20135BEE" w:rsidR="004C5470" w:rsidRDefault="004C5470">
      <w:pPr>
        <w:pStyle w:val="FootnoteText"/>
      </w:pPr>
      <w:r>
        <w:rPr>
          <w:rStyle w:val="FootnoteReference"/>
        </w:rPr>
        <w:footnoteRef/>
      </w:r>
      <w:r>
        <w:t xml:space="preserve"> </w:t>
      </w:r>
      <w:hyperlink r:id="rId5" w:history="1">
        <w:r w:rsidR="00D34D6A" w:rsidRPr="001D6B3C">
          <w:rPr>
            <w:rStyle w:val="Hyperlink"/>
          </w:rPr>
          <w:t>https://ico.org.uk/for-organisations/guide-to-data-protection/key-dp-themes/guidance-on-ai-and-data-protection/ai-and-data-protection-risk-toolkit</w:t>
        </w:r>
      </w:hyperlink>
      <w:r w:rsidR="00D34D6A">
        <w:t xml:space="preserve"> </w:t>
      </w:r>
    </w:p>
  </w:footnote>
  <w:footnote w:id="7">
    <w:p w14:paraId="012A1BF2" w14:textId="61E49C33" w:rsidR="00F23366" w:rsidRDefault="00F23366">
      <w:pPr>
        <w:pStyle w:val="FootnoteText"/>
      </w:pPr>
      <w:r>
        <w:rPr>
          <w:rStyle w:val="FootnoteReference"/>
        </w:rPr>
        <w:footnoteRef/>
      </w:r>
      <w:r>
        <w:t xml:space="preserve"> </w:t>
      </w:r>
      <w:hyperlink r:id="rId6" w:history="1">
        <w:r w:rsidRPr="00724E3F">
          <w:rPr>
            <w:rStyle w:val="Hyperlink"/>
          </w:rPr>
          <w:t>https://globalprivacyassembly.org/news-events/gpa-awards/</w:t>
        </w:r>
      </w:hyperlink>
      <w:r>
        <w:t xml:space="preserve"> </w:t>
      </w:r>
    </w:p>
  </w:footnote>
  <w:footnote w:id="8">
    <w:p w14:paraId="291A684A" w14:textId="29F1F5CE" w:rsidR="00BF477F" w:rsidRDefault="00BF477F">
      <w:pPr>
        <w:pStyle w:val="FootnoteText"/>
      </w:pPr>
      <w:r>
        <w:rPr>
          <w:rStyle w:val="FootnoteReference"/>
        </w:rPr>
        <w:footnoteRef/>
      </w:r>
      <w:r>
        <w:t xml:space="preserve"> </w:t>
      </w:r>
      <w:hyperlink r:id="rId7" w:history="1">
        <w:r w:rsidRPr="00724E3F">
          <w:rPr>
            <w:rStyle w:val="Hyperlink"/>
          </w:rPr>
          <w:t>https://ico.org.uk/for-organisations/guide-to-data-protection/key-dp-themes/explaining-decisions-made-with-artificial-intelligence/</w:t>
        </w:r>
      </w:hyperlink>
      <w:r>
        <w:t xml:space="preserve"> </w:t>
      </w:r>
    </w:p>
  </w:footnote>
  <w:footnote w:id="9">
    <w:p w14:paraId="1FA13A3D" w14:textId="6CB0673D" w:rsidR="004C5470" w:rsidRDefault="004C5470">
      <w:pPr>
        <w:pStyle w:val="FootnoteText"/>
      </w:pPr>
      <w:r>
        <w:rPr>
          <w:rStyle w:val="FootnoteReference"/>
        </w:rPr>
        <w:footnoteRef/>
      </w:r>
      <w:r>
        <w:t xml:space="preserve"> </w:t>
      </w:r>
      <w:hyperlink r:id="rId8" w:history="1">
        <w:r w:rsidR="00982EF6" w:rsidRPr="001D6B3C">
          <w:rPr>
            <w:rStyle w:val="Hyperlink"/>
          </w:rPr>
          <w:t>https://ico.org.uk/about-the-ico/what-we-do/ico-innovation-services</w:t>
        </w:r>
      </w:hyperlink>
      <w:r w:rsidR="00982EF6">
        <w:t xml:space="preserve"> </w:t>
      </w:r>
    </w:p>
  </w:footnote>
  <w:footnote w:id="10">
    <w:p w14:paraId="7D8C3229" w14:textId="5E552495" w:rsidR="00692B19" w:rsidRDefault="00692B19">
      <w:pPr>
        <w:pStyle w:val="FootnoteText"/>
      </w:pPr>
      <w:r>
        <w:rPr>
          <w:rStyle w:val="FootnoteReference"/>
        </w:rPr>
        <w:footnoteRef/>
      </w:r>
      <w:r>
        <w:t xml:space="preserve"> You can read more about ICO’s work on AI here: </w:t>
      </w:r>
      <w:hyperlink r:id="rId9" w:history="1">
        <w:r w:rsidRPr="00724E3F">
          <w:rPr>
            <w:rStyle w:val="Hyperlink"/>
          </w:rPr>
          <w:t>https://ico.org.uk/about-the-ico/what-we-do/our-work-on-artificial-intelligence</w:t>
        </w:r>
      </w:hyperlink>
      <w:r>
        <w:t xml:space="preserve"> </w:t>
      </w:r>
    </w:p>
  </w:footnote>
  <w:footnote w:id="11">
    <w:p w14:paraId="6DF1CEB7" w14:textId="65451178" w:rsidR="00B66E5A" w:rsidRDefault="00B66E5A">
      <w:pPr>
        <w:pStyle w:val="FootnoteText"/>
      </w:pPr>
      <w:r>
        <w:rPr>
          <w:rStyle w:val="FootnoteReference"/>
        </w:rPr>
        <w:footnoteRef/>
      </w:r>
      <w:r>
        <w:t xml:space="preserve"> </w:t>
      </w:r>
      <w:hyperlink r:id="rId10" w:history="1">
        <w:r w:rsidRPr="001D6B3C">
          <w:rPr>
            <w:rStyle w:val="Hyperlink"/>
          </w:rPr>
          <w:t>https://www.gov.uk/government/publications/findings-from-the-drcf-algorithmic-processing-workstream-spring-2022/the-benefits-and-harms-of-algorithms-a-shared-perspective-from-the-four-digital-regulators</w:t>
        </w:r>
      </w:hyperlink>
      <w:r>
        <w:t xml:space="preserve"> </w:t>
      </w:r>
    </w:p>
  </w:footnote>
  <w:footnote w:id="12">
    <w:p w14:paraId="62AAB2E7" w14:textId="600F79DE" w:rsidR="00072341" w:rsidRDefault="00072341">
      <w:pPr>
        <w:pStyle w:val="FootnoteText"/>
      </w:pPr>
      <w:r>
        <w:rPr>
          <w:rStyle w:val="FootnoteReference"/>
        </w:rPr>
        <w:footnoteRef/>
      </w:r>
      <w:r>
        <w:t xml:space="preserve"> </w:t>
      </w:r>
      <w:hyperlink r:id="rId11" w:history="1">
        <w:r w:rsidR="00AB22E5" w:rsidRPr="001D6B3C">
          <w:rPr>
            <w:rStyle w:val="Hyperlink"/>
          </w:rPr>
          <w:t>https://www.gov.uk/government/publications/findings-from-the-drcf-algorithmic-processing-workstream-spring-2022/auditing-algorithms-the-existing-landscape-role-of-regulators-and-future-outlook</w:t>
        </w:r>
      </w:hyperlink>
      <w:r w:rsidR="00AB22E5">
        <w:t xml:space="preserve"> </w:t>
      </w:r>
    </w:p>
  </w:footnote>
  <w:footnote w:id="13">
    <w:p w14:paraId="26458EA1" w14:textId="13653A5B" w:rsidR="00AC5675" w:rsidRDefault="00AC5675">
      <w:pPr>
        <w:pStyle w:val="FootnoteText"/>
      </w:pPr>
      <w:r>
        <w:rPr>
          <w:rStyle w:val="FootnoteReference"/>
        </w:rPr>
        <w:footnoteRef/>
      </w:r>
      <w:r>
        <w:t xml:space="preserve"> </w:t>
      </w:r>
      <w:hyperlink r:id="rId12" w:history="1">
        <w:r w:rsidRPr="001D6B3C">
          <w:rPr>
            <w:rStyle w:val="Hyperlink"/>
          </w:rPr>
          <w:t>https://www.gov.uk/government/publications/digital-regulation-cooperation-forum-workplan-2022-to-2023/digital-regulation-cooperation-forum-plan-of-work-for-2022-to-2023</w:t>
        </w:r>
      </w:hyperlink>
      <w:r>
        <w:t xml:space="preserve"> </w:t>
      </w:r>
    </w:p>
  </w:footnote>
  <w:footnote w:id="14">
    <w:p w14:paraId="142E9158" w14:textId="5FE4EF72" w:rsidR="00C75A50" w:rsidRDefault="00C75A50">
      <w:pPr>
        <w:pStyle w:val="FootnoteText"/>
      </w:pPr>
      <w:r>
        <w:rPr>
          <w:rStyle w:val="FootnoteReference"/>
        </w:rPr>
        <w:footnoteRef/>
      </w:r>
      <w:r>
        <w:t xml:space="preserve"> </w:t>
      </w:r>
      <w:hyperlink r:id="rId13" w:anchor="contextual_factors_1" w:history="1">
        <w:r w:rsidRPr="0008282E">
          <w:rPr>
            <w:rStyle w:val="Hyperlink"/>
          </w:rPr>
          <w:t>https://ico.org.uk/for-organisations/guide-to-data-protection/key-dp-themes/explaining-decisions-made-with-artificial-intelligence/part-1-the-basics-of-explaining-ai/what-are-the-contextual-factors/#contextual_factors_1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595C"/>
    <w:multiLevelType w:val="hybridMultilevel"/>
    <w:tmpl w:val="AC6A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83F"/>
    <w:multiLevelType w:val="hybridMultilevel"/>
    <w:tmpl w:val="B6DCA73C"/>
    <w:lvl w:ilvl="0" w:tplc="1EB6702E">
      <w:start w:val="1"/>
      <w:numFmt w:val="decimal"/>
      <w:lvlText w:val="%1."/>
      <w:lvlJc w:val="left"/>
      <w:pPr>
        <w:ind w:left="2421" w:hanging="360"/>
      </w:pPr>
      <w:rPr>
        <w:rFonts w:ascii="Verdana" w:hAnsi="Verdana" w:hint="default"/>
      </w:rPr>
    </w:lvl>
    <w:lvl w:ilvl="1" w:tplc="DB5C03D4">
      <w:start w:val="1"/>
      <w:numFmt w:val="lowerLetter"/>
      <w:lvlText w:val="%2."/>
      <w:lvlJc w:val="left"/>
      <w:pPr>
        <w:ind w:left="3141" w:hanging="360"/>
      </w:pPr>
    </w:lvl>
    <w:lvl w:ilvl="2" w:tplc="4164242E">
      <w:start w:val="1"/>
      <w:numFmt w:val="lowerRoman"/>
      <w:lvlText w:val="%3."/>
      <w:lvlJc w:val="right"/>
      <w:pPr>
        <w:ind w:left="3861" w:hanging="180"/>
      </w:pPr>
    </w:lvl>
    <w:lvl w:ilvl="3" w:tplc="3ED27728">
      <w:start w:val="1"/>
      <w:numFmt w:val="decimal"/>
      <w:lvlText w:val="%4."/>
      <w:lvlJc w:val="left"/>
      <w:pPr>
        <w:ind w:left="4581" w:hanging="360"/>
      </w:pPr>
    </w:lvl>
    <w:lvl w:ilvl="4" w:tplc="DCAC72F8">
      <w:start w:val="1"/>
      <w:numFmt w:val="lowerLetter"/>
      <w:lvlText w:val="%5."/>
      <w:lvlJc w:val="left"/>
      <w:pPr>
        <w:ind w:left="5301" w:hanging="360"/>
      </w:pPr>
    </w:lvl>
    <w:lvl w:ilvl="5" w:tplc="363AA228">
      <w:start w:val="1"/>
      <w:numFmt w:val="lowerRoman"/>
      <w:lvlText w:val="%6."/>
      <w:lvlJc w:val="right"/>
      <w:pPr>
        <w:ind w:left="6021" w:hanging="180"/>
      </w:pPr>
    </w:lvl>
    <w:lvl w:ilvl="6" w:tplc="66AA0F8E">
      <w:start w:val="1"/>
      <w:numFmt w:val="decimal"/>
      <w:lvlText w:val="%7."/>
      <w:lvlJc w:val="left"/>
      <w:pPr>
        <w:ind w:left="6741" w:hanging="360"/>
      </w:pPr>
    </w:lvl>
    <w:lvl w:ilvl="7" w:tplc="04A0A88A">
      <w:start w:val="1"/>
      <w:numFmt w:val="lowerLetter"/>
      <w:lvlText w:val="%8."/>
      <w:lvlJc w:val="left"/>
      <w:pPr>
        <w:ind w:left="7461" w:hanging="360"/>
      </w:pPr>
    </w:lvl>
    <w:lvl w:ilvl="8" w:tplc="61486BB2">
      <w:start w:val="1"/>
      <w:numFmt w:val="lowerRoman"/>
      <w:lvlText w:val="%9."/>
      <w:lvlJc w:val="right"/>
      <w:pPr>
        <w:ind w:left="8181" w:hanging="180"/>
      </w:pPr>
    </w:lvl>
  </w:abstractNum>
  <w:abstractNum w:abstractNumId="2" w15:restartNumberingAfterBreak="0">
    <w:nsid w:val="24FB7320"/>
    <w:multiLevelType w:val="hybridMultilevel"/>
    <w:tmpl w:val="A198D282"/>
    <w:lvl w:ilvl="0" w:tplc="7D8AA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50A8D"/>
    <w:multiLevelType w:val="hybridMultilevel"/>
    <w:tmpl w:val="DFE852CA"/>
    <w:lvl w:ilvl="0" w:tplc="23F27E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8350740">
    <w:abstractNumId w:val="1"/>
  </w:num>
  <w:num w:numId="2" w16cid:durableId="753665642">
    <w:abstractNumId w:val="2"/>
  </w:num>
  <w:num w:numId="3" w16cid:durableId="709644497">
    <w:abstractNumId w:val="3"/>
  </w:num>
  <w:num w:numId="4" w16cid:durableId="4818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D0"/>
    <w:rsid w:val="000016B0"/>
    <w:rsid w:val="00012966"/>
    <w:rsid w:val="0001420A"/>
    <w:rsid w:val="00022CAF"/>
    <w:rsid w:val="000267B5"/>
    <w:rsid w:val="0003339A"/>
    <w:rsid w:val="000356D5"/>
    <w:rsid w:val="00036A6A"/>
    <w:rsid w:val="00036DF1"/>
    <w:rsid w:val="00046418"/>
    <w:rsid w:val="0005391A"/>
    <w:rsid w:val="00054953"/>
    <w:rsid w:val="0005651D"/>
    <w:rsid w:val="00060356"/>
    <w:rsid w:val="00061C1D"/>
    <w:rsid w:val="000627B9"/>
    <w:rsid w:val="00063636"/>
    <w:rsid w:val="00063824"/>
    <w:rsid w:val="0006525A"/>
    <w:rsid w:val="0007097F"/>
    <w:rsid w:val="00072341"/>
    <w:rsid w:val="00076A1F"/>
    <w:rsid w:val="00080151"/>
    <w:rsid w:val="00081ECB"/>
    <w:rsid w:val="000919CF"/>
    <w:rsid w:val="00092699"/>
    <w:rsid w:val="00095D02"/>
    <w:rsid w:val="00096A16"/>
    <w:rsid w:val="00097BBC"/>
    <w:rsid w:val="000A05EB"/>
    <w:rsid w:val="000A1A51"/>
    <w:rsid w:val="000B0992"/>
    <w:rsid w:val="000B62CB"/>
    <w:rsid w:val="000D3CA3"/>
    <w:rsid w:val="000D65C8"/>
    <w:rsid w:val="000E602D"/>
    <w:rsid w:val="000E713B"/>
    <w:rsid w:val="000F0255"/>
    <w:rsid w:val="000F06C7"/>
    <w:rsid w:val="000F0D7F"/>
    <w:rsid w:val="000F320D"/>
    <w:rsid w:val="00104632"/>
    <w:rsid w:val="00104E11"/>
    <w:rsid w:val="001056CD"/>
    <w:rsid w:val="00107F05"/>
    <w:rsid w:val="00110001"/>
    <w:rsid w:val="00110346"/>
    <w:rsid w:val="00124158"/>
    <w:rsid w:val="0012752A"/>
    <w:rsid w:val="00127598"/>
    <w:rsid w:val="00127BEA"/>
    <w:rsid w:val="00127E2A"/>
    <w:rsid w:val="00132BF1"/>
    <w:rsid w:val="00137411"/>
    <w:rsid w:val="00137C0B"/>
    <w:rsid w:val="00160EE3"/>
    <w:rsid w:val="00166CAC"/>
    <w:rsid w:val="0017122B"/>
    <w:rsid w:val="0017243B"/>
    <w:rsid w:val="0017709B"/>
    <w:rsid w:val="00180BA4"/>
    <w:rsid w:val="00181A0C"/>
    <w:rsid w:val="00191084"/>
    <w:rsid w:val="0019124F"/>
    <w:rsid w:val="00192ACA"/>
    <w:rsid w:val="001951C3"/>
    <w:rsid w:val="001A5791"/>
    <w:rsid w:val="001A7CF3"/>
    <w:rsid w:val="001A7D98"/>
    <w:rsid w:val="001B12A4"/>
    <w:rsid w:val="001B2E80"/>
    <w:rsid w:val="001B4326"/>
    <w:rsid w:val="001B4791"/>
    <w:rsid w:val="001B6AC0"/>
    <w:rsid w:val="001C42DE"/>
    <w:rsid w:val="001D1E9D"/>
    <w:rsid w:val="001D3ADD"/>
    <w:rsid w:val="001E3E90"/>
    <w:rsid w:val="001E4AE6"/>
    <w:rsid w:val="001F238E"/>
    <w:rsid w:val="001F426F"/>
    <w:rsid w:val="001F5A6D"/>
    <w:rsid w:val="001F6E5F"/>
    <w:rsid w:val="001F76A0"/>
    <w:rsid w:val="00210E0C"/>
    <w:rsid w:val="002155C1"/>
    <w:rsid w:val="002171B7"/>
    <w:rsid w:val="002207D4"/>
    <w:rsid w:val="00224098"/>
    <w:rsid w:val="002245B7"/>
    <w:rsid w:val="0023173C"/>
    <w:rsid w:val="00233A32"/>
    <w:rsid w:val="00234F4D"/>
    <w:rsid w:val="0025065D"/>
    <w:rsid w:val="00254CDE"/>
    <w:rsid w:val="00256D06"/>
    <w:rsid w:val="002612B9"/>
    <w:rsid w:val="00264EDE"/>
    <w:rsid w:val="002718C1"/>
    <w:rsid w:val="00276248"/>
    <w:rsid w:val="002768CB"/>
    <w:rsid w:val="002843A2"/>
    <w:rsid w:val="00284F70"/>
    <w:rsid w:val="002855C5"/>
    <w:rsid w:val="002A0C85"/>
    <w:rsid w:val="002A4F63"/>
    <w:rsid w:val="002B1166"/>
    <w:rsid w:val="002B78EF"/>
    <w:rsid w:val="002C14A2"/>
    <w:rsid w:val="002D7793"/>
    <w:rsid w:val="002E152B"/>
    <w:rsid w:val="002E43B8"/>
    <w:rsid w:val="002F4AFD"/>
    <w:rsid w:val="003221E0"/>
    <w:rsid w:val="00331916"/>
    <w:rsid w:val="00336288"/>
    <w:rsid w:val="00337B6F"/>
    <w:rsid w:val="003403B0"/>
    <w:rsid w:val="00342C4A"/>
    <w:rsid w:val="00344703"/>
    <w:rsid w:val="0034518B"/>
    <w:rsid w:val="00347FC1"/>
    <w:rsid w:val="00350112"/>
    <w:rsid w:val="00354D3C"/>
    <w:rsid w:val="0036418D"/>
    <w:rsid w:val="00370231"/>
    <w:rsid w:val="0037615B"/>
    <w:rsid w:val="003801B8"/>
    <w:rsid w:val="00386783"/>
    <w:rsid w:val="00395A0D"/>
    <w:rsid w:val="003A1B8A"/>
    <w:rsid w:val="003A4228"/>
    <w:rsid w:val="003A767A"/>
    <w:rsid w:val="003B4D29"/>
    <w:rsid w:val="003B5158"/>
    <w:rsid w:val="003E400F"/>
    <w:rsid w:val="003E67AD"/>
    <w:rsid w:val="003F0E6D"/>
    <w:rsid w:val="00402355"/>
    <w:rsid w:val="00403B07"/>
    <w:rsid w:val="004042AC"/>
    <w:rsid w:val="0040788C"/>
    <w:rsid w:val="0041381F"/>
    <w:rsid w:val="00425A06"/>
    <w:rsid w:val="0043194D"/>
    <w:rsid w:val="004335B4"/>
    <w:rsid w:val="0043650C"/>
    <w:rsid w:val="004369C6"/>
    <w:rsid w:val="00436E8F"/>
    <w:rsid w:val="004407D2"/>
    <w:rsid w:val="0044457C"/>
    <w:rsid w:val="00444AB5"/>
    <w:rsid w:val="00451808"/>
    <w:rsid w:val="00455114"/>
    <w:rsid w:val="00484DCC"/>
    <w:rsid w:val="004934C2"/>
    <w:rsid w:val="004934CE"/>
    <w:rsid w:val="004939C2"/>
    <w:rsid w:val="00494C9E"/>
    <w:rsid w:val="004A1B20"/>
    <w:rsid w:val="004B09FC"/>
    <w:rsid w:val="004B1088"/>
    <w:rsid w:val="004B1AC5"/>
    <w:rsid w:val="004B3EE1"/>
    <w:rsid w:val="004C0452"/>
    <w:rsid w:val="004C3127"/>
    <w:rsid w:val="004C3F0D"/>
    <w:rsid w:val="004C428A"/>
    <w:rsid w:val="004C468B"/>
    <w:rsid w:val="004C5470"/>
    <w:rsid w:val="004C6395"/>
    <w:rsid w:val="004C65C2"/>
    <w:rsid w:val="004C6BC4"/>
    <w:rsid w:val="004D2CB6"/>
    <w:rsid w:val="004F0C44"/>
    <w:rsid w:val="004F6034"/>
    <w:rsid w:val="004F6D39"/>
    <w:rsid w:val="00512429"/>
    <w:rsid w:val="00512E7F"/>
    <w:rsid w:val="00533F15"/>
    <w:rsid w:val="005365F2"/>
    <w:rsid w:val="00536813"/>
    <w:rsid w:val="00541037"/>
    <w:rsid w:val="00541AE6"/>
    <w:rsid w:val="00543003"/>
    <w:rsid w:val="00547CAB"/>
    <w:rsid w:val="00553F18"/>
    <w:rsid w:val="00561480"/>
    <w:rsid w:val="00563B8D"/>
    <w:rsid w:val="00584998"/>
    <w:rsid w:val="00591606"/>
    <w:rsid w:val="005955FD"/>
    <w:rsid w:val="00595AE8"/>
    <w:rsid w:val="005A231A"/>
    <w:rsid w:val="005A43E7"/>
    <w:rsid w:val="005A54AD"/>
    <w:rsid w:val="005A703D"/>
    <w:rsid w:val="005C35D1"/>
    <w:rsid w:val="005C7037"/>
    <w:rsid w:val="005C722F"/>
    <w:rsid w:val="005D6C9C"/>
    <w:rsid w:val="005E20BB"/>
    <w:rsid w:val="005E69BD"/>
    <w:rsid w:val="005F5430"/>
    <w:rsid w:val="0060271D"/>
    <w:rsid w:val="006033B2"/>
    <w:rsid w:val="00610D27"/>
    <w:rsid w:val="00615ABD"/>
    <w:rsid w:val="006351C6"/>
    <w:rsid w:val="0063654B"/>
    <w:rsid w:val="00642637"/>
    <w:rsid w:val="006434C4"/>
    <w:rsid w:val="00645AB0"/>
    <w:rsid w:val="006520A6"/>
    <w:rsid w:val="00664F21"/>
    <w:rsid w:val="00671FC0"/>
    <w:rsid w:val="00673C42"/>
    <w:rsid w:val="00680192"/>
    <w:rsid w:val="00684BA2"/>
    <w:rsid w:val="00692B19"/>
    <w:rsid w:val="00695928"/>
    <w:rsid w:val="00696AB1"/>
    <w:rsid w:val="006A4D74"/>
    <w:rsid w:val="006B384C"/>
    <w:rsid w:val="006B3D94"/>
    <w:rsid w:val="006C6ED9"/>
    <w:rsid w:val="006D43D1"/>
    <w:rsid w:val="006D7EA2"/>
    <w:rsid w:val="006E2EDE"/>
    <w:rsid w:val="006E30B4"/>
    <w:rsid w:val="006E3D0C"/>
    <w:rsid w:val="006E527F"/>
    <w:rsid w:val="006E5B41"/>
    <w:rsid w:val="006E73FD"/>
    <w:rsid w:val="006F040F"/>
    <w:rsid w:val="006F6B3E"/>
    <w:rsid w:val="00701482"/>
    <w:rsid w:val="00703A46"/>
    <w:rsid w:val="00706B4D"/>
    <w:rsid w:val="00710961"/>
    <w:rsid w:val="007178E0"/>
    <w:rsid w:val="007567E9"/>
    <w:rsid w:val="00756C52"/>
    <w:rsid w:val="00765A7B"/>
    <w:rsid w:val="0076798F"/>
    <w:rsid w:val="00771C2D"/>
    <w:rsid w:val="00771C5F"/>
    <w:rsid w:val="007732DF"/>
    <w:rsid w:val="00774CF8"/>
    <w:rsid w:val="00785A30"/>
    <w:rsid w:val="00786045"/>
    <w:rsid w:val="00790CA4"/>
    <w:rsid w:val="007921F1"/>
    <w:rsid w:val="007965C9"/>
    <w:rsid w:val="00796B83"/>
    <w:rsid w:val="00797DA5"/>
    <w:rsid w:val="007A6C53"/>
    <w:rsid w:val="007B21D8"/>
    <w:rsid w:val="007B2EDF"/>
    <w:rsid w:val="007B453A"/>
    <w:rsid w:val="007B5C30"/>
    <w:rsid w:val="007C4F29"/>
    <w:rsid w:val="007D46A6"/>
    <w:rsid w:val="007E4E71"/>
    <w:rsid w:val="007F1964"/>
    <w:rsid w:val="00804F66"/>
    <w:rsid w:val="00806B55"/>
    <w:rsid w:val="00817A88"/>
    <w:rsid w:val="00820F8D"/>
    <w:rsid w:val="00821482"/>
    <w:rsid w:val="008259FE"/>
    <w:rsid w:val="008343DF"/>
    <w:rsid w:val="00837043"/>
    <w:rsid w:val="00841A79"/>
    <w:rsid w:val="00843067"/>
    <w:rsid w:val="00850075"/>
    <w:rsid w:val="008632EB"/>
    <w:rsid w:val="00865258"/>
    <w:rsid w:val="008656A3"/>
    <w:rsid w:val="00866CA0"/>
    <w:rsid w:val="00884093"/>
    <w:rsid w:val="00886F12"/>
    <w:rsid w:val="00891083"/>
    <w:rsid w:val="00894EE6"/>
    <w:rsid w:val="008A039F"/>
    <w:rsid w:val="008A76BA"/>
    <w:rsid w:val="008B0A0B"/>
    <w:rsid w:val="008B1274"/>
    <w:rsid w:val="008B2718"/>
    <w:rsid w:val="008B280D"/>
    <w:rsid w:val="008B4610"/>
    <w:rsid w:val="008B5D00"/>
    <w:rsid w:val="008B72A7"/>
    <w:rsid w:val="008D7CA0"/>
    <w:rsid w:val="008E24F4"/>
    <w:rsid w:val="008E2A81"/>
    <w:rsid w:val="008E5C54"/>
    <w:rsid w:val="00900D04"/>
    <w:rsid w:val="0090383B"/>
    <w:rsid w:val="00903E6C"/>
    <w:rsid w:val="00904214"/>
    <w:rsid w:val="009057A7"/>
    <w:rsid w:val="009060D2"/>
    <w:rsid w:val="00907C05"/>
    <w:rsid w:val="009115DA"/>
    <w:rsid w:val="00911C1F"/>
    <w:rsid w:val="00912C5B"/>
    <w:rsid w:val="00914330"/>
    <w:rsid w:val="00915520"/>
    <w:rsid w:val="009176B7"/>
    <w:rsid w:val="00920789"/>
    <w:rsid w:val="00924806"/>
    <w:rsid w:val="00931511"/>
    <w:rsid w:val="009367BF"/>
    <w:rsid w:val="00940596"/>
    <w:rsid w:val="00941CC3"/>
    <w:rsid w:val="0094307B"/>
    <w:rsid w:val="0094391E"/>
    <w:rsid w:val="009456DF"/>
    <w:rsid w:val="00947C8C"/>
    <w:rsid w:val="009660C4"/>
    <w:rsid w:val="00967197"/>
    <w:rsid w:val="009717C5"/>
    <w:rsid w:val="00975D09"/>
    <w:rsid w:val="009825C2"/>
    <w:rsid w:val="00982EF6"/>
    <w:rsid w:val="00987760"/>
    <w:rsid w:val="009A28D0"/>
    <w:rsid w:val="009A50D0"/>
    <w:rsid w:val="009B631B"/>
    <w:rsid w:val="009D5176"/>
    <w:rsid w:val="009D6134"/>
    <w:rsid w:val="009D6281"/>
    <w:rsid w:val="009D7CA9"/>
    <w:rsid w:val="009E51E9"/>
    <w:rsid w:val="009E7BD5"/>
    <w:rsid w:val="009F7983"/>
    <w:rsid w:val="00A04728"/>
    <w:rsid w:val="00A06333"/>
    <w:rsid w:val="00A207FD"/>
    <w:rsid w:val="00A20ED6"/>
    <w:rsid w:val="00A218F9"/>
    <w:rsid w:val="00A302AE"/>
    <w:rsid w:val="00A32EC7"/>
    <w:rsid w:val="00A37946"/>
    <w:rsid w:val="00A43A7C"/>
    <w:rsid w:val="00A451A1"/>
    <w:rsid w:val="00A46FB9"/>
    <w:rsid w:val="00A5334A"/>
    <w:rsid w:val="00A548E4"/>
    <w:rsid w:val="00A61C75"/>
    <w:rsid w:val="00A6380C"/>
    <w:rsid w:val="00A64944"/>
    <w:rsid w:val="00A65201"/>
    <w:rsid w:val="00A74B22"/>
    <w:rsid w:val="00A84D2D"/>
    <w:rsid w:val="00A86226"/>
    <w:rsid w:val="00A87B4D"/>
    <w:rsid w:val="00AA0EF4"/>
    <w:rsid w:val="00AB22E5"/>
    <w:rsid w:val="00AB4FE9"/>
    <w:rsid w:val="00AB5021"/>
    <w:rsid w:val="00AB5CC1"/>
    <w:rsid w:val="00AC0186"/>
    <w:rsid w:val="00AC0645"/>
    <w:rsid w:val="00AC4A52"/>
    <w:rsid w:val="00AC5675"/>
    <w:rsid w:val="00AC6550"/>
    <w:rsid w:val="00AC7749"/>
    <w:rsid w:val="00AD2884"/>
    <w:rsid w:val="00AE5F70"/>
    <w:rsid w:val="00AF33C3"/>
    <w:rsid w:val="00B109D2"/>
    <w:rsid w:val="00B11AF2"/>
    <w:rsid w:val="00B128F3"/>
    <w:rsid w:val="00B13972"/>
    <w:rsid w:val="00B14493"/>
    <w:rsid w:val="00B23C31"/>
    <w:rsid w:val="00B2563A"/>
    <w:rsid w:val="00B341CD"/>
    <w:rsid w:val="00B3776B"/>
    <w:rsid w:val="00B40473"/>
    <w:rsid w:val="00B42C22"/>
    <w:rsid w:val="00B43318"/>
    <w:rsid w:val="00B55B48"/>
    <w:rsid w:val="00B57C3F"/>
    <w:rsid w:val="00B66E5A"/>
    <w:rsid w:val="00B70A71"/>
    <w:rsid w:val="00B743E8"/>
    <w:rsid w:val="00B909CE"/>
    <w:rsid w:val="00B9127E"/>
    <w:rsid w:val="00B91B86"/>
    <w:rsid w:val="00B9537F"/>
    <w:rsid w:val="00B95892"/>
    <w:rsid w:val="00BB74F6"/>
    <w:rsid w:val="00BC4BCE"/>
    <w:rsid w:val="00BD1B42"/>
    <w:rsid w:val="00BE72CF"/>
    <w:rsid w:val="00BF1677"/>
    <w:rsid w:val="00BF40B8"/>
    <w:rsid w:val="00BF477F"/>
    <w:rsid w:val="00C11786"/>
    <w:rsid w:val="00C12F63"/>
    <w:rsid w:val="00C23F78"/>
    <w:rsid w:val="00C31A22"/>
    <w:rsid w:val="00C34E83"/>
    <w:rsid w:val="00C35A7A"/>
    <w:rsid w:val="00C40844"/>
    <w:rsid w:val="00C4189E"/>
    <w:rsid w:val="00C4205D"/>
    <w:rsid w:val="00C46832"/>
    <w:rsid w:val="00C476AD"/>
    <w:rsid w:val="00C54DE4"/>
    <w:rsid w:val="00C55EF6"/>
    <w:rsid w:val="00C67895"/>
    <w:rsid w:val="00C70BCB"/>
    <w:rsid w:val="00C75A50"/>
    <w:rsid w:val="00C763E4"/>
    <w:rsid w:val="00C77BCB"/>
    <w:rsid w:val="00C83457"/>
    <w:rsid w:val="00C85F30"/>
    <w:rsid w:val="00C90185"/>
    <w:rsid w:val="00C932C7"/>
    <w:rsid w:val="00C97A06"/>
    <w:rsid w:val="00CB1CA0"/>
    <w:rsid w:val="00CB7BC0"/>
    <w:rsid w:val="00CC2182"/>
    <w:rsid w:val="00CC28AC"/>
    <w:rsid w:val="00CD59E9"/>
    <w:rsid w:val="00CE0B3E"/>
    <w:rsid w:val="00CE0DAA"/>
    <w:rsid w:val="00CE0E68"/>
    <w:rsid w:val="00CE3E45"/>
    <w:rsid w:val="00CE48A4"/>
    <w:rsid w:val="00CE7BF9"/>
    <w:rsid w:val="00CF5554"/>
    <w:rsid w:val="00D10E14"/>
    <w:rsid w:val="00D15B79"/>
    <w:rsid w:val="00D216C6"/>
    <w:rsid w:val="00D34D6A"/>
    <w:rsid w:val="00D528FE"/>
    <w:rsid w:val="00D61EA4"/>
    <w:rsid w:val="00D636EC"/>
    <w:rsid w:val="00D66E04"/>
    <w:rsid w:val="00D7008A"/>
    <w:rsid w:val="00D80AA9"/>
    <w:rsid w:val="00D84E05"/>
    <w:rsid w:val="00D87EB1"/>
    <w:rsid w:val="00DA2763"/>
    <w:rsid w:val="00DA4A20"/>
    <w:rsid w:val="00DA69D4"/>
    <w:rsid w:val="00DB0446"/>
    <w:rsid w:val="00DB47EF"/>
    <w:rsid w:val="00DB5419"/>
    <w:rsid w:val="00DC2962"/>
    <w:rsid w:val="00DD2561"/>
    <w:rsid w:val="00DD2F69"/>
    <w:rsid w:val="00DD7DEE"/>
    <w:rsid w:val="00DE2805"/>
    <w:rsid w:val="00DE2D17"/>
    <w:rsid w:val="00E30FCD"/>
    <w:rsid w:val="00E3365C"/>
    <w:rsid w:val="00E34738"/>
    <w:rsid w:val="00E37D1B"/>
    <w:rsid w:val="00E40921"/>
    <w:rsid w:val="00E43BEC"/>
    <w:rsid w:val="00E45DA8"/>
    <w:rsid w:val="00E506FB"/>
    <w:rsid w:val="00E52F87"/>
    <w:rsid w:val="00E53A99"/>
    <w:rsid w:val="00E54CE0"/>
    <w:rsid w:val="00E62910"/>
    <w:rsid w:val="00E66C00"/>
    <w:rsid w:val="00E71818"/>
    <w:rsid w:val="00E7792D"/>
    <w:rsid w:val="00E93E40"/>
    <w:rsid w:val="00EA165A"/>
    <w:rsid w:val="00EA2BEF"/>
    <w:rsid w:val="00EA2C48"/>
    <w:rsid w:val="00EA7D13"/>
    <w:rsid w:val="00EB389B"/>
    <w:rsid w:val="00EB3D40"/>
    <w:rsid w:val="00EC3C54"/>
    <w:rsid w:val="00EC51A3"/>
    <w:rsid w:val="00EE619F"/>
    <w:rsid w:val="00EE6A61"/>
    <w:rsid w:val="00EF183A"/>
    <w:rsid w:val="00EF47BC"/>
    <w:rsid w:val="00F048D4"/>
    <w:rsid w:val="00F11CDE"/>
    <w:rsid w:val="00F21A80"/>
    <w:rsid w:val="00F23366"/>
    <w:rsid w:val="00F34D67"/>
    <w:rsid w:val="00F628CA"/>
    <w:rsid w:val="00F735A4"/>
    <w:rsid w:val="00F7385D"/>
    <w:rsid w:val="00F80F64"/>
    <w:rsid w:val="00F90F9E"/>
    <w:rsid w:val="00F9212B"/>
    <w:rsid w:val="00F951A8"/>
    <w:rsid w:val="00F95D56"/>
    <w:rsid w:val="00F96C03"/>
    <w:rsid w:val="00FA57FA"/>
    <w:rsid w:val="00FB213D"/>
    <w:rsid w:val="00FB4C6E"/>
    <w:rsid w:val="00FB50D5"/>
    <w:rsid w:val="00FD120A"/>
    <w:rsid w:val="00FF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62A5"/>
  <w15:chartTrackingRefBased/>
  <w15:docId w15:val="{4848535B-EAA3-4BB0-AA1A-36CD0561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D0"/>
  </w:style>
  <w:style w:type="paragraph" w:styleId="Heading2">
    <w:name w:val="heading 2"/>
    <w:basedOn w:val="Normal"/>
    <w:next w:val="Normal"/>
    <w:link w:val="Heading2Char"/>
    <w:uiPriority w:val="9"/>
    <w:unhideWhenUsed/>
    <w:qFormat/>
    <w:rsid w:val="009A28D0"/>
    <w:pPr>
      <w:keepNext/>
      <w:keepLines/>
      <w:spacing w:before="360" w:after="240" w:line="240" w:lineRule="auto"/>
      <w:outlineLvl w:val="1"/>
    </w:pPr>
    <w:rPr>
      <w:rFonts w:ascii="Georgia" w:eastAsiaTheme="majorEastAsia" w:hAnsi="Georgia" w:cstheme="majorBidi"/>
      <w:color w:val="003768"/>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8D0"/>
    <w:rPr>
      <w:rFonts w:ascii="Georgia" w:eastAsiaTheme="majorEastAsia" w:hAnsi="Georgia" w:cstheme="majorBidi"/>
      <w:color w:val="003768"/>
      <w:sz w:val="32"/>
      <w:szCs w:val="26"/>
    </w:rPr>
  </w:style>
  <w:style w:type="character" w:styleId="Hyperlink">
    <w:name w:val="Hyperlink"/>
    <w:basedOn w:val="DefaultParagraphFont"/>
    <w:uiPriority w:val="99"/>
    <w:unhideWhenUsed/>
    <w:rsid w:val="009A28D0"/>
    <w:rPr>
      <w:color w:val="0563C1" w:themeColor="hyperlink"/>
      <w:u w:val="single"/>
    </w:rPr>
  </w:style>
  <w:style w:type="paragraph" w:styleId="ListParagraph">
    <w:name w:val="List Paragraph"/>
    <w:basedOn w:val="Normal"/>
    <w:uiPriority w:val="34"/>
    <w:qFormat/>
    <w:rsid w:val="009A28D0"/>
    <w:pPr>
      <w:ind w:left="720"/>
      <w:contextualSpacing/>
    </w:pPr>
  </w:style>
  <w:style w:type="character" w:styleId="FootnoteReference">
    <w:name w:val="footnote reference"/>
    <w:basedOn w:val="DefaultParagraphFont"/>
    <w:uiPriority w:val="99"/>
    <w:semiHidden/>
    <w:unhideWhenUsed/>
    <w:rsid w:val="009A28D0"/>
    <w:rPr>
      <w:vertAlign w:val="superscript"/>
    </w:rPr>
  </w:style>
  <w:style w:type="character" w:customStyle="1" w:styleId="FootnoteTextChar">
    <w:name w:val="Footnote Text Char"/>
    <w:basedOn w:val="DefaultParagraphFont"/>
    <w:link w:val="FootnoteText"/>
    <w:uiPriority w:val="99"/>
    <w:rsid w:val="009A28D0"/>
    <w:rPr>
      <w:rFonts w:ascii="Verdana" w:hAnsi="Verdana"/>
      <w:sz w:val="16"/>
      <w:szCs w:val="20"/>
    </w:rPr>
  </w:style>
  <w:style w:type="paragraph" w:styleId="FootnoteText">
    <w:name w:val="footnote text"/>
    <w:basedOn w:val="Normal"/>
    <w:link w:val="FootnoteTextChar"/>
    <w:uiPriority w:val="99"/>
    <w:unhideWhenUsed/>
    <w:rsid w:val="009A28D0"/>
    <w:pPr>
      <w:spacing w:after="0" w:line="240" w:lineRule="auto"/>
    </w:pPr>
    <w:rPr>
      <w:rFonts w:ascii="Verdana" w:hAnsi="Verdana"/>
      <w:sz w:val="16"/>
      <w:szCs w:val="20"/>
    </w:rPr>
  </w:style>
  <w:style w:type="character" w:customStyle="1" w:styleId="FootnoteTextChar1">
    <w:name w:val="Footnote Text Char1"/>
    <w:basedOn w:val="DefaultParagraphFont"/>
    <w:uiPriority w:val="99"/>
    <w:semiHidden/>
    <w:rsid w:val="009A28D0"/>
    <w:rPr>
      <w:sz w:val="20"/>
      <w:szCs w:val="20"/>
    </w:rPr>
  </w:style>
  <w:style w:type="character" w:styleId="UnresolvedMention">
    <w:name w:val="Unresolved Mention"/>
    <w:basedOn w:val="DefaultParagraphFont"/>
    <w:uiPriority w:val="99"/>
    <w:semiHidden/>
    <w:unhideWhenUsed/>
    <w:rsid w:val="00C75A50"/>
    <w:rPr>
      <w:color w:val="605E5C"/>
      <w:shd w:val="clear" w:color="auto" w:fill="E1DFDD"/>
    </w:rPr>
  </w:style>
  <w:style w:type="character" w:styleId="CommentReference">
    <w:name w:val="annotation reference"/>
    <w:basedOn w:val="DefaultParagraphFont"/>
    <w:uiPriority w:val="99"/>
    <w:semiHidden/>
    <w:unhideWhenUsed/>
    <w:rsid w:val="00BD1B42"/>
    <w:rPr>
      <w:sz w:val="16"/>
      <w:szCs w:val="16"/>
    </w:rPr>
  </w:style>
  <w:style w:type="paragraph" w:styleId="CommentText">
    <w:name w:val="annotation text"/>
    <w:basedOn w:val="Normal"/>
    <w:link w:val="CommentTextChar"/>
    <w:uiPriority w:val="99"/>
    <w:semiHidden/>
    <w:unhideWhenUsed/>
    <w:rsid w:val="00BD1B42"/>
    <w:pPr>
      <w:spacing w:line="240" w:lineRule="auto"/>
    </w:pPr>
    <w:rPr>
      <w:sz w:val="20"/>
      <w:szCs w:val="20"/>
    </w:rPr>
  </w:style>
  <w:style w:type="character" w:customStyle="1" w:styleId="CommentTextChar">
    <w:name w:val="Comment Text Char"/>
    <w:basedOn w:val="DefaultParagraphFont"/>
    <w:link w:val="CommentText"/>
    <w:uiPriority w:val="99"/>
    <w:semiHidden/>
    <w:rsid w:val="00BD1B42"/>
    <w:rPr>
      <w:sz w:val="20"/>
      <w:szCs w:val="20"/>
    </w:rPr>
  </w:style>
  <w:style w:type="paragraph" w:styleId="CommentSubject">
    <w:name w:val="annotation subject"/>
    <w:basedOn w:val="CommentText"/>
    <w:next w:val="CommentText"/>
    <w:link w:val="CommentSubjectChar"/>
    <w:uiPriority w:val="99"/>
    <w:semiHidden/>
    <w:unhideWhenUsed/>
    <w:rsid w:val="00BD1B42"/>
    <w:rPr>
      <w:b/>
      <w:bCs/>
    </w:rPr>
  </w:style>
  <w:style w:type="character" w:customStyle="1" w:styleId="CommentSubjectChar">
    <w:name w:val="Comment Subject Char"/>
    <w:basedOn w:val="CommentTextChar"/>
    <w:link w:val="CommentSubject"/>
    <w:uiPriority w:val="99"/>
    <w:semiHidden/>
    <w:rsid w:val="00BD1B42"/>
    <w:rPr>
      <w:b/>
      <w:bCs/>
      <w:sz w:val="20"/>
      <w:szCs w:val="20"/>
    </w:rPr>
  </w:style>
  <w:style w:type="paragraph" w:styleId="Revision">
    <w:name w:val="Revision"/>
    <w:hidden/>
    <w:uiPriority w:val="99"/>
    <w:semiHidden/>
    <w:rsid w:val="00484DCC"/>
    <w:pPr>
      <w:spacing w:after="0" w:line="240" w:lineRule="auto"/>
    </w:pPr>
  </w:style>
  <w:style w:type="character" w:styleId="FollowedHyperlink">
    <w:name w:val="FollowedHyperlink"/>
    <w:basedOn w:val="DefaultParagraphFont"/>
    <w:uiPriority w:val="99"/>
    <w:semiHidden/>
    <w:unhideWhenUsed/>
    <w:rsid w:val="008B4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1558">
      <w:bodyDiv w:val="1"/>
      <w:marLeft w:val="0"/>
      <w:marRight w:val="0"/>
      <w:marTop w:val="0"/>
      <w:marBottom w:val="0"/>
      <w:divBdr>
        <w:top w:val="none" w:sz="0" w:space="0" w:color="auto"/>
        <w:left w:val="none" w:sz="0" w:space="0" w:color="auto"/>
        <w:bottom w:val="none" w:sz="0" w:space="0" w:color="auto"/>
        <w:right w:val="none" w:sz="0" w:space="0" w:color="auto"/>
      </w:divBdr>
    </w:div>
    <w:div w:id="616833424">
      <w:bodyDiv w:val="1"/>
      <w:marLeft w:val="0"/>
      <w:marRight w:val="0"/>
      <w:marTop w:val="0"/>
      <w:marBottom w:val="0"/>
      <w:divBdr>
        <w:top w:val="none" w:sz="0" w:space="0" w:color="auto"/>
        <w:left w:val="none" w:sz="0" w:space="0" w:color="auto"/>
        <w:bottom w:val="none" w:sz="0" w:space="0" w:color="auto"/>
        <w:right w:val="none" w:sz="0" w:space="0" w:color="auto"/>
      </w:divBdr>
    </w:div>
    <w:div w:id="920455384">
      <w:bodyDiv w:val="1"/>
      <w:marLeft w:val="0"/>
      <w:marRight w:val="0"/>
      <w:marTop w:val="0"/>
      <w:marBottom w:val="0"/>
      <w:divBdr>
        <w:top w:val="none" w:sz="0" w:space="0" w:color="auto"/>
        <w:left w:val="none" w:sz="0" w:space="0" w:color="auto"/>
        <w:bottom w:val="none" w:sz="0" w:space="0" w:color="auto"/>
        <w:right w:val="none" w:sz="0" w:space="0" w:color="auto"/>
      </w:divBdr>
    </w:div>
    <w:div w:id="9763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co.org.uk/about-the-ico/what-we-do/ico-innovation-services" TargetMode="External"/><Relationship Id="rId13" Type="http://schemas.openxmlformats.org/officeDocument/2006/relationships/hyperlink" Target="https://ico.org.uk/for-organisations/guide-to-data-protection/key-dp-themes/explaining-decisions-made-with-artificial-intelligence/part-1-the-basics-of-explaining-ai/what-are-the-contextual-factors/" TargetMode="External"/><Relationship Id="rId3" Type="http://schemas.openxmlformats.org/officeDocument/2006/relationships/hyperlink" Target="https://ico.org.uk/media/about-the-ico/documents/4020926/ico25-plan-for-consultation-20221407-v1_0.pdf" TargetMode="External"/><Relationship Id="rId7" Type="http://schemas.openxmlformats.org/officeDocument/2006/relationships/hyperlink" Target="https://ico.org.uk/for-organisations/guide-to-data-protection/key-dp-themes/explaining-decisions-made-with-artificial-intelligence/" TargetMode="External"/><Relationship Id="rId12" Type="http://schemas.openxmlformats.org/officeDocument/2006/relationships/hyperlink" Target="https://www.gov.uk/government/publications/digital-regulation-cooperation-forum-workplan-2022-to-2023/digital-regulation-cooperation-forum-plan-of-work-for-2022-to-2023" TargetMode="External"/><Relationship Id="rId2" Type="http://schemas.openxmlformats.org/officeDocument/2006/relationships/hyperlink" Target="https://ico.org.uk/for-organisations/guide-to-data-protection/guide-to-the-general-data-protection-regulation-gdpr/principles/" TargetMode="External"/><Relationship Id="rId1" Type="http://schemas.openxmlformats.org/officeDocument/2006/relationships/hyperlink" Target="https://bills.parliament.uk/bills/3322" TargetMode="External"/><Relationship Id="rId6" Type="http://schemas.openxmlformats.org/officeDocument/2006/relationships/hyperlink" Target="https://globalprivacyassembly.org/news-events/gpa-awards/" TargetMode="External"/><Relationship Id="rId11" Type="http://schemas.openxmlformats.org/officeDocument/2006/relationships/hyperlink" Target="https://www.gov.uk/government/publications/findings-from-the-drcf-algorithmic-processing-workstream-spring-2022/auditing-algorithms-the-existing-landscape-role-of-regulators-and-future-outlook" TargetMode="External"/><Relationship Id="rId5" Type="http://schemas.openxmlformats.org/officeDocument/2006/relationships/hyperlink" Target="https://ico.org.uk/for-organisations/guide-to-data-protection/key-dp-themes/guidance-on-ai-and-data-protection/ai-and-data-protection-risk-toolkit" TargetMode="External"/><Relationship Id="rId10" Type="http://schemas.openxmlformats.org/officeDocument/2006/relationships/hyperlink" Target="https://www.gov.uk/government/publications/findings-from-the-drcf-algorithmic-processing-workstream-spring-2022/the-benefits-and-harms-of-algorithms-a-shared-perspective-from-the-four-digital-regulators" TargetMode="External"/><Relationship Id="rId4" Type="http://schemas.openxmlformats.org/officeDocument/2006/relationships/hyperlink" Target="https://ico.org.uk/for-organisations/guide-to-data-protection/key-dp-themes/guidance-on-ai-and-data-protection" TargetMode="External"/><Relationship Id="rId9" Type="http://schemas.openxmlformats.org/officeDocument/2006/relationships/hyperlink" Target="https://ico.org.uk/about-the-ico/what-we-do/our-work-on-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9360-9670-4D74-A261-3B56F0DD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Ignatidou</dc:creator>
  <cp:keywords/>
  <dc:description/>
  <cp:lastModifiedBy>Sophia Ignatidou</cp:lastModifiedBy>
  <cp:revision>4</cp:revision>
  <cp:lastPrinted>2022-09-05T14:45:00Z</cp:lastPrinted>
  <dcterms:created xsi:type="dcterms:W3CDTF">2022-09-15T16:03:00Z</dcterms:created>
  <dcterms:modified xsi:type="dcterms:W3CDTF">2022-09-20T09:03:00Z</dcterms:modified>
</cp:coreProperties>
</file>