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22AE" w14:textId="3F40895A" w:rsidR="008310B3" w:rsidRPr="00E47E2D" w:rsidRDefault="008310B3" w:rsidP="00783B30">
      <w:pPr>
        <w:autoSpaceDE w:val="0"/>
        <w:autoSpaceDN w:val="0"/>
        <w:adjustRightInd w:val="0"/>
        <w:rPr>
          <w:rFonts w:ascii="Georgia" w:hAnsi="Georgia" w:cs="Georgia"/>
          <w:i/>
          <w:iCs/>
          <w:color w:val="2F5496" w:themeColor="accent1" w:themeShade="BF"/>
          <w:sz w:val="28"/>
        </w:rPr>
      </w:pPr>
      <w:r w:rsidRPr="0017479A">
        <w:rPr>
          <w:rFonts w:ascii="Georgia" w:hAnsi="Georgia" w:cs="Georgia"/>
          <w:color w:val="2F5496" w:themeColor="accent1" w:themeShade="BF"/>
          <w:sz w:val="28"/>
        </w:rPr>
        <w:t xml:space="preserve">The Information Commissioner’s response to </w:t>
      </w:r>
      <w:r w:rsidR="00036B08">
        <w:rPr>
          <w:rFonts w:ascii="Georgia" w:hAnsi="Georgia" w:cs="Georgia"/>
          <w:color w:val="2F5496" w:themeColor="accent1" w:themeShade="BF"/>
          <w:sz w:val="28"/>
        </w:rPr>
        <w:t xml:space="preserve">Cabinet Office’s </w:t>
      </w:r>
      <w:r>
        <w:rPr>
          <w:rFonts w:ascii="Georgia" w:hAnsi="Georgia" w:cs="Georgia"/>
          <w:color w:val="2F5496" w:themeColor="accent1" w:themeShade="BF"/>
          <w:sz w:val="28"/>
        </w:rPr>
        <w:t>public consultation</w:t>
      </w:r>
      <w:r w:rsidR="00036B08">
        <w:rPr>
          <w:rFonts w:ascii="Georgia" w:hAnsi="Georgia" w:cs="Georgia"/>
          <w:color w:val="2F5496" w:themeColor="accent1" w:themeShade="BF"/>
          <w:sz w:val="28"/>
        </w:rPr>
        <w:t xml:space="preserve">: </w:t>
      </w:r>
      <w:r w:rsidR="00036B08" w:rsidRPr="008A2126">
        <w:rPr>
          <w:rFonts w:ascii="Georgia" w:hAnsi="Georgia" w:cs="Georgia"/>
          <w:i/>
          <w:iCs/>
          <w:color w:val="2F5496" w:themeColor="accent1" w:themeShade="BF"/>
          <w:sz w:val="28"/>
        </w:rPr>
        <w:t>The UK Single Trade Window: Consultation on features to inform design and legislation</w:t>
      </w:r>
      <w:r w:rsidRPr="00E47E2D">
        <w:rPr>
          <w:rFonts w:ascii="Georgia" w:hAnsi="Georgia" w:cs="Georgia"/>
          <w:i/>
          <w:iCs/>
          <w:color w:val="2F5496" w:themeColor="accent1" w:themeShade="BF"/>
          <w:sz w:val="28"/>
        </w:rPr>
        <w:t xml:space="preserve"> </w:t>
      </w:r>
    </w:p>
    <w:p w14:paraId="512256C9" w14:textId="77777777" w:rsidR="008310B3" w:rsidRDefault="008310B3" w:rsidP="008310B3">
      <w:pPr>
        <w:autoSpaceDE w:val="0"/>
        <w:autoSpaceDN w:val="0"/>
        <w:adjustRightInd w:val="0"/>
        <w:rPr>
          <w:rFonts w:ascii="Georgia" w:hAnsi="Georgia" w:cs="Georgia"/>
          <w:color w:val="2F5496" w:themeColor="accent1" w:themeShade="BF"/>
          <w:sz w:val="28"/>
        </w:rPr>
      </w:pPr>
    </w:p>
    <w:p w14:paraId="2D68343D" w14:textId="77777777" w:rsidR="008310B3" w:rsidRDefault="008310B3" w:rsidP="008310B3">
      <w:pPr>
        <w:autoSpaceDE w:val="0"/>
        <w:autoSpaceDN w:val="0"/>
        <w:adjustRightInd w:val="0"/>
        <w:rPr>
          <w:rFonts w:ascii="Georgia" w:hAnsi="Georgia" w:cs="Georgia"/>
          <w:color w:val="2F5496" w:themeColor="accent1" w:themeShade="BF"/>
          <w:sz w:val="28"/>
        </w:rPr>
      </w:pPr>
      <w:r w:rsidRPr="0017479A">
        <w:rPr>
          <w:rFonts w:ascii="Georgia" w:hAnsi="Georgia" w:cs="Georgia"/>
          <w:color w:val="2F5496" w:themeColor="accent1" w:themeShade="BF"/>
          <w:sz w:val="28"/>
        </w:rPr>
        <w:t xml:space="preserve">About the ICO </w:t>
      </w:r>
    </w:p>
    <w:p w14:paraId="68F228E7" w14:textId="4342449C" w:rsidR="00676510" w:rsidRPr="00676510" w:rsidRDefault="008310B3" w:rsidP="00676510">
      <w:pPr>
        <w:pStyle w:val="ListParagraph"/>
        <w:numPr>
          <w:ilvl w:val="0"/>
          <w:numId w:val="18"/>
        </w:numPr>
        <w:ind w:left="851" w:hanging="567"/>
        <w:rPr>
          <w:lang w:val="en"/>
        </w:rPr>
      </w:pPr>
      <w:r>
        <w:t>The ICO has responsibility for promoting and enforcing data protection and information rights. This includes responsibilities under the UK General Data Protection Regulation (UK GDPR), the Data Protection Act 2018 (DPA), the Freedom of Information Act 2000 (FOIA), the Network and Information Systems Regulations 2018 (NIS), the Environmental Information Regulations 2004 (EIR) and the Privacy and Electronic Communications Regulations 2003 (PECR). The ICO is independent from government and upholds information rights in the public interest, promoting openness by public bodies and data privacy for individuals. The ICO provides guidance and support to individuals and organisations, aimed at helping organisations to comply, and it takes appropriate action when needed.</w:t>
      </w:r>
    </w:p>
    <w:p w14:paraId="604EE332" w14:textId="77777777" w:rsidR="00676510" w:rsidRPr="00676510" w:rsidRDefault="00676510" w:rsidP="00676510">
      <w:pPr>
        <w:pStyle w:val="ListParagraph"/>
        <w:ind w:left="851"/>
        <w:rPr>
          <w:lang w:val="en"/>
        </w:rPr>
      </w:pPr>
    </w:p>
    <w:p w14:paraId="588D580E" w14:textId="74A2AB01" w:rsidR="00783B30" w:rsidRPr="008A2126" w:rsidRDefault="00382CCD" w:rsidP="00676510">
      <w:pPr>
        <w:pStyle w:val="ListParagraph"/>
        <w:numPr>
          <w:ilvl w:val="0"/>
          <w:numId w:val="18"/>
        </w:numPr>
        <w:ind w:left="851" w:hanging="567"/>
        <w:rPr>
          <w:lang w:val="en"/>
        </w:rPr>
      </w:pPr>
      <w:r>
        <w:t xml:space="preserve">The Information Commissioner’s Office (ICO) welcomes the opportunity to respond to the </w:t>
      </w:r>
      <w:r w:rsidR="008A2126">
        <w:t xml:space="preserve">Cabinet Office’s public consultation: </w:t>
      </w:r>
      <w:r w:rsidR="008A2126" w:rsidRPr="008A2126">
        <w:rPr>
          <w:i/>
          <w:iCs/>
        </w:rPr>
        <w:t xml:space="preserve">The UK Single </w:t>
      </w:r>
      <w:r w:rsidR="008A2126">
        <w:rPr>
          <w:i/>
          <w:iCs/>
        </w:rPr>
        <w:t>T</w:t>
      </w:r>
      <w:r w:rsidR="008A2126" w:rsidRPr="008A2126">
        <w:rPr>
          <w:i/>
          <w:iCs/>
        </w:rPr>
        <w:t xml:space="preserve">rade </w:t>
      </w:r>
      <w:r w:rsidR="008A2126">
        <w:rPr>
          <w:i/>
          <w:iCs/>
        </w:rPr>
        <w:t>W</w:t>
      </w:r>
      <w:r w:rsidR="008A2126" w:rsidRPr="008A2126">
        <w:rPr>
          <w:i/>
          <w:iCs/>
        </w:rPr>
        <w:t>indo</w:t>
      </w:r>
      <w:r w:rsidR="008A2126">
        <w:rPr>
          <w:i/>
          <w:iCs/>
        </w:rPr>
        <w:t>w</w:t>
      </w:r>
      <w:r w:rsidR="008A2126" w:rsidRPr="008A2126">
        <w:rPr>
          <w:i/>
          <w:iCs/>
        </w:rPr>
        <w:t>: consul</w:t>
      </w:r>
      <w:r w:rsidR="008A2126">
        <w:rPr>
          <w:i/>
          <w:iCs/>
        </w:rPr>
        <w:t>t</w:t>
      </w:r>
      <w:r w:rsidR="008A2126" w:rsidRPr="008A2126">
        <w:rPr>
          <w:i/>
          <w:iCs/>
        </w:rPr>
        <w:t>ation on features to inform design and legislation</w:t>
      </w:r>
      <w:r w:rsidR="008A2126">
        <w:rPr>
          <w:i/>
          <w:iCs/>
        </w:rPr>
        <w:t xml:space="preserve"> </w:t>
      </w:r>
      <w:r w:rsidR="008A2126" w:rsidRPr="008A2126">
        <w:t xml:space="preserve">(the consultation). </w:t>
      </w:r>
    </w:p>
    <w:p w14:paraId="2A03ED8B" w14:textId="77777777" w:rsidR="00676510" w:rsidRPr="008A2126" w:rsidRDefault="00676510" w:rsidP="00676510">
      <w:pPr>
        <w:pStyle w:val="ListParagraph"/>
        <w:rPr>
          <w:i/>
          <w:iCs/>
          <w:lang w:val="en"/>
        </w:rPr>
      </w:pPr>
    </w:p>
    <w:p w14:paraId="3BCE470F" w14:textId="402A5AE4" w:rsidR="00676510" w:rsidRDefault="00676510" w:rsidP="00676510">
      <w:pPr>
        <w:rPr>
          <w:rFonts w:ascii="Georgia" w:hAnsi="Georgia" w:cs="Georgia"/>
          <w:color w:val="2F5496" w:themeColor="accent1" w:themeShade="BF"/>
          <w:sz w:val="28"/>
        </w:rPr>
      </w:pPr>
      <w:r>
        <w:rPr>
          <w:rFonts w:ascii="Georgia" w:hAnsi="Georgia" w:cs="Georgia"/>
          <w:color w:val="2F5496" w:themeColor="accent1" w:themeShade="BF"/>
          <w:sz w:val="28"/>
        </w:rPr>
        <w:t>Su</w:t>
      </w:r>
      <w:bookmarkStart w:id="0" w:name="_Hlk112247897"/>
      <w:r>
        <w:rPr>
          <w:rFonts w:ascii="Georgia" w:hAnsi="Georgia" w:cs="Georgia"/>
          <w:color w:val="2F5496" w:themeColor="accent1" w:themeShade="BF"/>
          <w:sz w:val="28"/>
        </w:rPr>
        <w:t>mmar</w:t>
      </w:r>
      <w:bookmarkEnd w:id="0"/>
      <w:r>
        <w:rPr>
          <w:rFonts w:ascii="Georgia" w:hAnsi="Georgia" w:cs="Georgia"/>
          <w:color w:val="2F5496" w:themeColor="accent1" w:themeShade="BF"/>
          <w:sz w:val="28"/>
        </w:rPr>
        <w:t>y</w:t>
      </w:r>
    </w:p>
    <w:p w14:paraId="31C55520" w14:textId="1AC18AE9" w:rsidR="00BF6FE4" w:rsidRDefault="00C54A0A" w:rsidP="00F816BB">
      <w:pPr>
        <w:pStyle w:val="ListParagraph"/>
        <w:numPr>
          <w:ilvl w:val="0"/>
          <w:numId w:val="18"/>
        </w:numPr>
        <w:ind w:left="851" w:hanging="567"/>
      </w:pPr>
      <w:r>
        <w:t>We</w:t>
      </w:r>
      <w:r w:rsidR="00980865">
        <w:t xml:space="preserve"> recognise the importance of driving efficiencies </w:t>
      </w:r>
      <w:r w:rsidR="007D0ADA">
        <w:t xml:space="preserve">in the operation of </w:t>
      </w:r>
      <w:r w:rsidR="00B20A71">
        <w:t>trade across the UK border</w:t>
      </w:r>
      <w:r w:rsidR="001E17C8">
        <w:t xml:space="preserve">, by avoiding </w:t>
      </w:r>
      <w:r w:rsidR="00D9389E">
        <w:t xml:space="preserve">the need for duplication of information across a range of different </w:t>
      </w:r>
      <w:r w:rsidR="00641054">
        <w:t xml:space="preserve">portals. </w:t>
      </w:r>
      <w:r w:rsidR="00950845">
        <w:t>We also recognise th</w:t>
      </w:r>
      <w:r w:rsidR="008D6010">
        <w:t>at the development of a Single Trade Window (STW)</w:t>
      </w:r>
      <w:r w:rsidR="006313D1">
        <w:t xml:space="preserve"> </w:t>
      </w:r>
      <w:r w:rsidR="008D6010">
        <w:t xml:space="preserve">is an </w:t>
      </w:r>
      <w:r w:rsidR="00950845">
        <w:t xml:space="preserve">important opportunity to coordinate </w:t>
      </w:r>
      <w:r w:rsidR="000A03AC">
        <w:t xml:space="preserve">the </w:t>
      </w:r>
      <w:r w:rsidR="00F961C0">
        <w:t>better use of data across</w:t>
      </w:r>
      <w:r w:rsidR="00117D34">
        <w:t xml:space="preserve"> government</w:t>
      </w:r>
      <w:r w:rsidR="006313D1">
        <w:t xml:space="preserve">, collecting data </w:t>
      </w:r>
      <w:r w:rsidR="00A63584">
        <w:t>relating to cross border trade</w:t>
      </w:r>
      <w:r w:rsidR="00B12565">
        <w:t xml:space="preserve"> through a single platform</w:t>
      </w:r>
      <w:r w:rsidR="00A63584">
        <w:t xml:space="preserve"> and then sharing further within government</w:t>
      </w:r>
      <w:r w:rsidR="00BF6FE4">
        <w:t>.</w:t>
      </w:r>
      <w:r w:rsidR="00B50119">
        <w:t xml:space="preserve"> </w:t>
      </w:r>
      <w:r w:rsidR="00BF6FE4">
        <w:t xml:space="preserve"> </w:t>
      </w:r>
    </w:p>
    <w:p w14:paraId="3BB0EC2E" w14:textId="77777777" w:rsidR="00BF6FE4" w:rsidRDefault="00BF6FE4" w:rsidP="00BF6FE4">
      <w:pPr>
        <w:pStyle w:val="ListParagraph"/>
        <w:ind w:left="851"/>
      </w:pPr>
    </w:p>
    <w:p w14:paraId="72D0E1FD" w14:textId="74383F12" w:rsidR="0098716D" w:rsidRDefault="00FC595C" w:rsidP="00F816BB">
      <w:pPr>
        <w:pStyle w:val="ListParagraph"/>
        <w:numPr>
          <w:ilvl w:val="0"/>
          <w:numId w:val="18"/>
        </w:numPr>
        <w:ind w:left="851" w:hanging="567"/>
      </w:pPr>
      <w:r>
        <w:t>Public trust and confidence are important factors in successful public sector initiatives involving personal data</w:t>
      </w:r>
      <w:r w:rsidR="00B7538A">
        <w:t xml:space="preserve">. </w:t>
      </w:r>
      <w:r w:rsidR="00C500C3">
        <w:t>Developing a</w:t>
      </w:r>
      <w:r w:rsidR="00404913">
        <w:t xml:space="preserve"> framework </w:t>
      </w:r>
      <w:r w:rsidR="00C500C3">
        <w:t xml:space="preserve">for the STW </w:t>
      </w:r>
      <w:r w:rsidR="00404913">
        <w:t xml:space="preserve">that </w:t>
      </w:r>
      <w:r w:rsidR="00081A4F">
        <w:t xml:space="preserve">integrates </w:t>
      </w:r>
      <w:r w:rsidR="00C500C3">
        <w:t xml:space="preserve">high standards for privacy and </w:t>
      </w:r>
      <w:r w:rsidR="00A82586">
        <w:t>a positive approach to data protection when handling personal data</w:t>
      </w:r>
      <w:r w:rsidR="000C2A48">
        <w:t xml:space="preserve"> is </w:t>
      </w:r>
      <w:r w:rsidR="00801427">
        <w:t xml:space="preserve">more </w:t>
      </w:r>
      <w:r w:rsidR="000C2A48">
        <w:t xml:space="preserve">likely to </w:t>
      </w:r>
      <w:r w:rsidR="001A7004">
        <w:t>secure and maintain that trust.</w:t>
      </w:r>
      <w:r w:rsidR="00B026B8">
        <w:t xml:space="preserve"> </w:t>
      </w:r>
      <w:r w:rsidR="00904503">
        <w:t>A</w:t>
      </w:r>
      <w:r w:rsidR="00825B32">
        <w:t xml:space="preserve"> data protection</w:t>
      </w:r>
      <w:r w:rsidR="002360D2">
        <w:t xml:space="preserve"> by </w:t>
      </w:r>
      <w:r w:rsidR="00D54524">
        <w:t>design and default</w:t>
      </w:r>
      <w:r w:rsidR="00493468">
        <w:t xml:space="preserve"> approach</w:t>
      </w:r>
      <w:r w:rsidR="00F125D4">
        <w:t xml:space="preserve"> </w:t>
      </w:r>
      <w:r w:rsidR="00801E29">
        <w:t xml:space="preserve">to the STW will help </w:t>
      </w:r>
      <w:r w:rsidR="00904503">
        <w:t>Cabinet Office and HMRC in</w:t>
      </w:r>
      <w:r w:rsidR="00801E29">
        <w:t xml:space="preserve"> achieving these aims, and </w:t>
      </w:r>
      <w:r w:rsidR="0059091A">
        <w:t>should include</w:t>
      </w:r>
      <w:r w:rsidR="00EC38E8">
        <w:t xml:space="preserve"> </w:t>
      </w:r>
    </w:p>
    <w:p w14:paraId="1AB6876A" w14:textId="77777777" w:rsidR="0059047D" w:rsidRDefault="0059047D" w:rsidP="0059047D">
      <w:pPr>
        <w:pStyle w:val="ListParagraph"/>
        <w:numPr>
          <w:ilvl w:val="0"/>
          <w:numId w:val="27"/>
        </w:numPr>
      </w:pPr>
      <w:r>
        <w:t>undertaking a data protection impact assessment (DPIA)</w:t>
      </w:r>
    </w:p>
    <w:p w14:paraId="7580B2DC" w14:textId="77777777" w:rsidR="001344D9" w:rsidRDefault="00D31205" w:rsidP="001344D9">
      <w:pPr>
        <w:pStyle w:val="ListParagraph"/>
        <w:numPr>
          <w:ilvl w:val="0"/>
          <w:numId w:val="27"/>
        </w:numPr>
      </w:pPr>
      <w:r>
        <w:lastRenderedPageBreak/>
        <w:t xml:space="preserve">assessing the necessity and proportionality of the processing and sharing of personal data </w:t>
      </w:r>
    </w:p>
    <w:p w14:paraId="25EC8D26" w14:textId="77777777" w:rsidR="001344D9" w:rsidRDefault="001344D9" w:rsidP="001344D9">
      <w:pPr>
        <w:pStyle w:val="ListParagraph"/>
        <w:numPr>
          <w:ilvl w:val="0"/>
          <w:numId w:val="27"/>
        </w:numPr>
      </w:pPr>
      <w:r>
        <w:t>undertaking a comprehensive mapping exercise of the data flows involved in the STW</w:t>
      </w:r>
    </w:p>
    <w:p w14:paraId="11CA5303" w14:textId="3EC400F4" w:rsidR="00470FA6" w:rsidRDefault="00DF4AFF" w:rsidP="001344D9">
      <w:pPr>
        <w:pStyle w:val="ListParagraph"/>
        <w:numPr>
          <w:ilvl w:val="0"/>
          <w:numId w:val="27"/>
        </w:numPr>
      </w:pPr>
      <w:r>
        <w:t xml:space="preserve">establishing the necessity and proportionality of the processing, including </w:t>
      </w:r>
      <w:r w:rsidR="00470FA6">
        <w:t xml:space="preserve">building on the fundamental principles of data protection </w:t>
      </w:r>
    </w:p>
    <w:p w14:paraId="62CB12A8" w14:textId="1894BC60" w:rsidR="00AE7CDF" w:rsidRDefault="00AE7CDF" w:rsidP="00AE7CDF">
      <w:pPr>
        <w:pStyle w:val="ListParagraph"/>
        <w:numPr>
          <w:ilvl w:val="0"/>
          <w:numId w:val="27"/>
        </w:numPr>
      </w:pPr>
      <w:r>
        <w:t xml:space="preserve">ensuring </w:t>
      </w:r>
      <w:r w:rsidR="00D4563E">
        <w:t>the STW</w:t>
      </w:r>
      <w:r w:rsidR="008627AA">
        <w:t xml:space="preserve"> is </w:t>
      </w:r>
      <w:r>
        <w:t>fair and transparent</w:t>
      </w:r>
      <w:r w:rsidR="008627AA">
        <w:t>,</w:t>
      </w:r>
      <w:r w:rsidR="00F001FC">
        <w:t xml:space="preserve"> and support</w:t>
      </w:r>
      <w:r w:rsidR="002E4E57">
        <w:t>s</w:t>
      </w:r>
      <w:r w:rsidR="00F001FC">
        <w:t xml:space="preserve"> individual rights, </w:t>
      </w:r>
      <w:r w:rsidR="00E1261F">
        <w:t xml:space="preserve"> and</w:t>
      </w:r>
    </w:p>
    <w:p w14:paraId="5912FDDA" w14:textId="77777777" w:rsidR="00E1261F" w:rsidRDefault="00E1261F" w:rsidP="00E1261F">
      <w:pPr>
        <w:pStyle w:val="ListParagraph"/>
        <w:numPr>
          <w:ilvl w:val="0"/>
          <w:numId w:val="27"/>
        </w:numPr>
      </w:pPr>
      <w:r>
        <w:t xml:space="preserve">ensuring that appropriate protections are in place for any international transfers of personal data. </w:t>
      </w:r>
    </w:p>
    <w:p w14:paraId="48A1796C" w14:textId="77777777" w:rsidR="00E1261F" w:rsidRDefault="00E1261F" w:rsidP="00E1261F">
      <w:pPr>
        <w:autoSpaceDE w:val="0"/>
        <w:autoSpaceDN w:val="0"/>
        <w:adjustRightInd w:val="0"/>
        <w:rPr>
          <w:rFonts w:ascii="Georgia" w:hAnsi="Georgia" w:cs="Georgia"/>
          <w:color w:val="2F5496" w:themeColor="accent1" w:themeShade="BF"/>
          <w:sz w:val="28"/>
        </w:rPr>
      </w:pPr>
    </w:p>
    <w:p w14:paraId="0D0F8791" w14:textId="1F7D5E33" w:rsidR="00836D8E" w:rsidRDefault="00280086" w:rsidP="00836D8E">
      <w:pPr>
        <w:rPr>
          <w:rFonts w:ascii="Georgia" w:hAnsi="Georgia" w:cs="Georgia"/>
          <w:color w:val="2F5496" w:themeColor="accent1" w:themeShade="BF"/>
          <w:sz w:val="28"/>
        </w:rPr>
      </w:pPr>
      <w:r>
        <w:t xml:space="preserve"> </w:t>
      </w:r>
      <w:r w:rsidR="00836D8E" w:rsidRPr="00B17609">
        <w:rPr>
          <w:rFonts w:ascii="Georgia" w:hAnsi="Georgia" w:cs="Georgia"/>
          <w:color w:val="2F5496" w:themeColor="accent1" w:themeShade="BF"/>
          <w:sz w:val="28"/>
        </w:rPr>
        <w:t>Background</w:t>
      </w:r>
    </w:p>
    <w:p w14:paraId="27D07C27" w14:textId="36E37087" w:rsidR="00836D8E" w:rsidRPr="00B17609" w:rsidRDefault="00836D8E" w:rsidP="007E6DC6">
      <w:pPr>
        <w:pStyle w:val="ListParagraph"/>
        <w:numPr>
          <w:ilvl w:val="0"/>
          <w:numId w:val="18"/>
        </w:numPr>
        <w:ind w:left="851" w:hanging="567"/>
        <w:rPr>
          <w:lang w:val="en"/>
        </w:rPr>
      </w:pPr>
      <w:r w:rsidRPr="00B17609">
        <w:rPr>
          <w:lang w:val="en"/>
        </w:rPr>
        <w:t xml:space="preserve">The consultation explores the development of a </w:t>
      </w:r>
      <w:r w:rsidR="00B93E51">
        <w:rPr>
          <w:lang w:val="en"/>
        </w:rPr>
        <w:t>STW</w:t>
      </w:r>
      <w:r w:rsidRPr="00B17609">
        <w:rPr>
          <w:lang w:val="en"/>
        </w:rPr>
        <w:t xml:space="preserve"> to create a single gateway for all transactional data from traders into government in relation to trade across the UK border. It focuses on the collection, use and sharing of data within government; government’s sight and use of supply chain data; and the need for international data sharing. </w:t>
      </w:r>
    </w:p>
    <w:p w14:paraId="043799AC" w14:textId="77777777" w:rsidR="00836D8E" w:rsidRDefault="00836D8E" w:rsidP="00836D8E">
      <w:pPr>
        <w:pStyle w:val="ListParagraph"/>
        <w:ind w:left="851" w:hanging="567"/>
        <w:rPr>
          <w:lang w:val="en"/>
        </w:rPr>
      </w:pPr>
    </w:p>
    <w:p w14:paraId="1600798C" w14:textId="7075164D" w:rsidR="00BD1872" w:rsidRDefault="00836D8E" w:rsidP="007E6DC6">
      <w:pPr>
        <w:pStyle w:val="ListParagraph"/>
        <w:numPr>
          <w:ilvl w:val="0"/>
          <w:numId w:val="18"/>
        </w:numPr>
        <w:ind w:left="851" w:hanging="567"/>
        <w:rPr>
          <w:lang w:val="en"/>
        </w:rPr>
      </w:pPr>
      <w:r>
        <w:rPr>
          <w:lang w:val="en"/>
        </w:rPr>
        <w:t xml:space="preserve">The data within scope of the proposals relating to the STW is likely to include </w:t>
      </w:r>
      <w:r w:rsidR="00012E84">
        <w:rPr>
          <w:lang w:val="en"/>
        </w:rPr>
        <w:t xml:space="preserve">a </w:t>
      </w:r>
      <w:r>
        <w:rPr>
          <w:lang w:val="en"/>
        </w:rPr>
        <w:t>significant volume of information that do</w:t>
      </w:r>
      <w:r w:rsidR="00012E84">
        <w:rPr>
          <w:lang w:val="en"/>
        </w:rPr>
        <w:t>es</w:t>
      </w:r>
      <w:r>
        <w:rPr>
          <w:lang w:val="en"/>
        </w:rPr>
        <w:t xml:space="preserve"> not relate to individuals, but it will include personal data. </w:t>
      </w:r>
      <w:r w:rsidR="006474A1">
        <w:rPr>
          <w:lang w:val="en"/>
        </w:rPr>
        <w:t>Our</w:t>
      </w:r>
      <w:r>
        <w:rPr>
          <w:lang w:val="en"/>
        </w:rPr>
        <w:t xml:space="preserve"> comments are limited to issues relating </w:t>
      </w:r>
      <w:r w:rsidR="000B0901">
        <w:rPr>
          <w:lang w:val="en"/>
        </w:rPr>
        <w:t xml:space="preserve">to </w:t>
      </w:r>
      <w:r>
        <w:rPr>
          <w:lang w:val="en"/>
        </w:rPr>
        <w:t>personal data and not to other issues outside</w:t>
      </w:r>
      <w:r w:rsidR="000B0901">
        <w:rPr>
          <w:lang w:val="en"/>
        </w:rPr>
        <w:t xml:space="preserve"> our</w:t>
      </w:r>
      <w:r>
        <w:rPr>
          <w:lang w:val="en"/>
        </w:rPr>
        <w:t xml:space="preserve"> remit.</w:t>
      </w:r>
    </w:p>
    <w:p w14:paraId="3B0581CB" w14:textId="77777777" w:rsidR="00521F94" w:rsidRPr="00521F94" w:rsidRDefault="00521F94" w:rsidP="00521F94">
      <w:pPr>
        <w:pStyle w:val="ListParagraph"/>
        <w:rPr>
          <w:lang w:val="en"/>
        </w:rPr>
      </w:pPr>
    </w:p>
    <w:p w14:paraId="66830DEF" w14:textId="73D05A01" w:rsidR="00521F94" w:rsidRDefault="00491415" w:rsidP="00521F94">
      <w:pPr>
        <w:pStyle w:val="ListParagraph"/>
        <w:numPr>
          <w:ilvl w:val="0"/>
          <w:numId w:val="18"/>
        </w:numPr>
        <w:ind w:left="851" w:hanging="567"/>
        <w:rPr>
          <w:lang w:val="en"/>
        </w:rPr>
      </w:pPr>
      <w:r>
        <w:rPr>
          <w:lang w:val="en"/>
        </w:rPr>
        <w:t xml:space="preserve">Decisions that </w:t>
      </w:r>
      <w:r w:rsidR="00521F94">
        <w:rPr>
          <w:lang w:val="en"/>
        </w:rPr>
        <w:t>HMRC and Cabinet Office</w:t>
      </w:r>
      <w:r>
        <w:rPr>
          <w:lang w:val="en"/>
        </w:rPr>
        <w:t xml:space="preserve"> make about how to deliver the STW will </w:t>
      </w:r>
      <w:r w:rsidR="00611EAA">
        <w:rPr>
          <w:lang w:val="en"/>
        </w:rPr>
        <w:t xml:space="preserve">affect </w:t>
      </w:r>
      <w:r w:rsidR="00521F94">
        <w:rPr>
          <w:lang w:val="en"/>
        </w:rPr>
        <w:t>the data protection issues that arise</w:t>
      </w:r>
      <w:r>
        <w:rPr>
          <w:lang w:val="en"/>
        </w:rPr>
        <w:t xml:space="preserve"> and the potential for risk</w:t>
      </w:r>
      <w:r w:rsidR="00521F94">
        <w:rPr>
          <w:lang w:val="en"/>
        </w:rPr>
        <w:t xml:space="preserve">. We have therefore confined most of our comments at this time to overarching principles. We will welcome further engagement with </w:t>
      </w:r>
      <w:r w:rsidR="000339EB">
        <w:rPr>
          <w:lang w:val="en"/>
        </w:rPr>
        <w:t xml:space="preserve">Cabinet Office or </w:t>
      </w:r>
      <w:r w:rsidR="00521F94">
        <w:rPr>
          <w:lang w:val="en"/>
        </w:rPr>
        <w:t xml:space="preserve">HMRC to discuss specific data protection issues in more detail, once </w:t>
      </w:r>
      <w:r w:rsidR="00D72568">
        <w:rPr>
          <w:lang w:val="en"/>
        </w:rPr>
        <w:t xml:space="preserve">they have reached a settled position about how the STW might operate. </w:t>
      </w:r>
      <w:r w:rsidR="000339EB">
        <w:rPr>
          <w:lang w:val="en"/>
        </w:rPr>
        <w:t xml:space="preserve"> </w:t>
      </w:r>
      <w:r w:rsidR="00521F94">
        <w:rPr>
          <w:lang w:val="en"/>
        </w:rPr>
        <w:t xml:space="preserve">   </w:t>
      </w:r>
    </w:p>
    <w:p w14:paraId="06C163E0" w14:textId="55D67162" w:rsidR="00D5653E" w:rsidRDefault="00D5653E" w:rsidP="00BD1872">
      <w:pPr>
        <w:pStyle w:val="ListParagraph"/>
        <w:ind w:left="851"/>
        <w:rPr>
          <w:b/>
          <w:bCs/>
          <w:lang w:val="en"/>
        </w:rPr>
      </w:pPr>
    </w:p>
    <w:p w14:paraId="4E3F6CC5" w14:textId="36F6FB1A" w:rsidR="00645128" w:rsidRDefault="00FD0431" w:rsidP="00FD0431">
      <w:pPr>
        <w:rPr>
          <w:rFonts w:ascii="Georgia" w:hAnsi="Georgia" w:cs="Georgia"/>
          <w:color w:val="2F5496" w:themeColor="accent1" w:themeShade="BF"/>
          <w:sz w:val="28"/>
        </w:rPr>
      </w:pPr>
      <w:r>
        <w:rPr>
          <w:rFonts w:ascii="Georgia" w:hAnsi="Georgia" w:cs="Georgia"/>
          <w:color w:val="2F5496" w:themeColor="accent1" w:themeShade="BF"/>
          <w:sz w:val="28"/>
        </w:rPr>
        <w:t>Data protection by design and default</w:t>
      </w:r>
    </w:p>
    <w:p w14:paraId="72ECC3C2" w14:textId="3C6657F0" w:rsidR="0059047D" w:rsidRPr="00BE5D0A" w:rsidRDefault="00D05CCD" w:rsidP="000C0E5E">
      <w:pPr>
        <w:pStyle w:val="ListParagraph"/>
        <w:numPr>
          <w:ilvl w:val="0"/>
          <w:numId w:val="18"/>
        </w:numPr>
        <w:ind w:left="851" w:hanging="567"/>
        <w:rPr>
          <w:lang w:val="en"/>
        </w:rPr>
      </w:pPr>
      <w:r>
        <w:t xml:space="preserve">Ensuring that </w:t>
      </w:r>
      <w:r w:rsidR="00A47A52">
        <w:t>HMRC collects and then shares data responsibly</w:t>
      </w:r>
      <w:r w:rsidR="00404F67">
        <w:t xml:space="preserve"> in the context of the STW</w:t>
      </w:r>
      <w:r w:rsidR="00A47A52">
        <w:t xml:space="preserve"> will be an important element in supporting </w:t>
      </w:r>
      <w:r w:rsidR="009B42C7">
        <w:t>public trust and confidence</w:t>
      </w:r>
      <w:r w:rsidR="00105C22">
        <w:t xml:space="preserve">, </w:t>
      </w:r>
      <w:r w:rsidR="009B42C7">
        <w:t xml:space="preserve">in addition to the </w:t>
      </w:r>
      <w:r w:rsidR="00DD172D">
        <w:t>efficiencies and other benefits to business and the wider economy</w:t>
      </w:r>
      <w:r w:rsidR="00105C22">
        <w:t xml:space="preserve"> that</w:t>
      </w:r>
      <w:r w:rsidR="00404F67">
        <w:t xml:space="preserve"> the STW is expected to deliver.</w:t>
      </w:r>
      <w:r w:rsidR="00105C22">
        <w:t xml:space="preserve"> </w:t>
      </w:r>
      <w:r w:rsidR="0009627D" w:rsidRPr="00BE5D0A">
        <w:rPr>
          <w:color w:val="000000"/>
        </w:rPr>
        <w:t>Adopting a data protection by design and defaul</w:t>
      </w:r>
      <w:r w:rsidR="00712331" w:rsidRPr="00BE5D0A">
        <w:rPr>
          <w:color w:val="000000"/>
        </w:rPr>
        <w:t>t approach</w:t>
      </w:r>
      <w:r w:rsidR="00C7343E" w:rsidRPr="001E0836">
        <w:rPr>
          <w:rStyle w:val="FootnoteReference"/>
          <w:color w:val="000000"/>
        </w:rPr>
        <w:footnoteReference w:id="1"/>
      </w:r>
      <w:r w:rsidR="00712331" w:rsidRPr="00BE5D0A">
        <w:rPr>
          <w:color w:val="000000"/>
        </w:rPr>
        <w:t xml:space="preserve"> will be essential as the STW will </w:t>
      </w:r>
      <w:r w:rsidR="00BE5D0A" w:rsidRPr="00BE5D0A">
        <w:rPr>
          <w:color w:val="000000"/>
        </w:rPr>
        <w:t xml:space="preserve">involve </w:t>
      </w:r>
      <w:r w:rsidR="000C1542" w:rsidRPr="00BE5D0A">
        <w:rPr>
          <w:color w:val="000000"/>
        </w:rPr>
        <w:t xml:space="preserve">new data sharing initiatives </w:t>
      </w:r>
      <w:r w:rsidR="00BB1C25" w:rsidRPr="00BE5D0A">
        <w:rPr>
          <w:color w:val="000000"/>
        </w:rPr>
        <w:t>and</w:t>
      </w:r>
      <w:r w:rsidR="000C1542" w:rsidRPr="00BE5D0A">
        <w:rPr>
          <w:color w:val="000000"/>
        </w:rPr>
        <w:t xml:space="preserve"> </w:t>
      </w:r>
      <w:r w:rsidR="000C1542" w:rsidRPr="00BE5D0A">
        <w:rPr>
          <w:color w:val="000000"/>
        </w:rPr>
        <w:lastRenderedPageBreak/>
        <w:t xml:space="preserve">organisations </w:t>
      </w:r>
      <w:r w:rsidR="00BB1C25" w:rsidRPr="00BE5D0A">
        <w:rPr>
          <w:color w:val="000000"/>
        </w:rPr>
        <w:t>might</w:t>
      </w:r>
      <w:r w:rsidR="000C1542" w:rsidRPr="00BE5D0A">
        <w:rPr>
          <w:color w:val="000000"/>
        </w:rPr>
        <w:t xml:space="preserve"> use personal data for new purposes</w:t>
      </w:r>
      <w:r w:rsidR="00FB5BD4" w:rsidRPr="00BE5D0A">
        <w:rPr>
          <w:color w:val="000000"/>
        </w:rPr>
        <w:t>.</w:t>
      </w:r>
      <w:r w:rsidR="00BE5D0A" w:rsidRPr="00BE5D0A">
        <w:rPr>
          <w:color w:val="000000"/>
        </w:rPr>
        <w:t xml:space="preserve"> Keeping this approach in </w:t>
      </w:r>
      <w:r w:rsidR="00BE5D0A">
        <w:rPr>
          <w:color w:val="000000"/>
        </w:rPr>
        <w:t xml:space="preserve">focus </w:t>
      </w:r>
      <w:proofErr w:type="spellStart"/>
      <w:r w:rsidR="00BE5D0A">
        <w:rPr>
          <w:color w:val="000000"/>
        </w:rPr>
        <w:t>wil</w:t>
      </w:r>
      <w:proofErr w:type="spellEnd"/>
      <w:r w:rsidR="000B7AC1" w:rsidRPr="00BE5D0A">
        <w:rPr>
          <w:lang w:val="en"/>
        </w:rPr>
        <w:t>l</w:t>
      </w:r>
      <w:r w:rsidR="00BE5D0A">
        <w:rPr>
          <w:lang w:val="en"/>
        </w:rPr>
        <w:t xml:space="preserve"> </w:t>
      </w:r>
      <w:r w:rsidR="000B7AC1" w:rsidRPr="00BE5D0A">
        <w:rPr>
          <w:lang w:val="en"/>
        </w:rPr>
        <w:t xml:space="preserve">ensure that </w:t>
      </w:r>
      <w:r w:rsidR="00D3740A" w:rsidRPr="00BE5D0A">
        <w:rPr>
          <w:lang w:val="en"/>
        </w:rPr>
        <w:t>Cabinet Office and HMRC develop</w:t>
      </w:r>
      <w:r w:rsidR="00BE5D0A">
        <w:rPr>
          <w:lang w:val="en"/>
        </w:rPr>
        <w:t xml:space="preserve"> the STW</w:t>
      </w:r>
      <w:r w:rsidR="000B7AC1" w:rsidRPr="00BE5D0A">
        <w:rPr>
          <w:lang w:val="en"/>
        </w:rPr>
        <w:t xml:space="preserve"> in a privacy enhancing way. This will not only help ensure compliance with the fundamental principles and requirements of </w:t>
      </w:r>
      <w:r w:rsidR="00D3740A" w:rsidRPr="00BE5D0A">
        <w:rPr>
          <w:lang w:val="en"/>
        </w:rPr>
        <w:t>data protection legislation</w:t>
      </w:r>
      <w:r w:rsidR="000B7AC1" w:rsidRPr="00BE5D0A">
        <w:rPr>
          <w:lang w:val="en"/>
        </w:rPr>
        <w:t xml:space="preserve">, </w:t>
      </w:r>
      <w:r w:rsidR="007B232D" w:rsidRPr="00BE5D0A">
        <w:rPr>
          <w:lang w:val="en"/>
        </w:rPr>
        <w:t xml:space="preserve">but will also </w:t>
      </w:r>
      <w:r w:rsidR="000B7AC1" w:rsidRPr="00BE5D0A">
        <w:rPr>
          <w:lang w:val="en"/>
        </w:rPr>
        <w:t xml:space="preserve">assist government and </w:t>
      </w:r>
      <w:r w:rsidR="00054723" w:rsidRPr="00BE5D0A">
        <w:rPr>
          <w:lang w:val="en"/>
        </w:rPr>
        <w:t xml:space="preserve">the </w:t>
      </w:r>
      <w:r w:rsidR="00753ADA" w:rsidRPr="00BE5D0A">
        <w:rPr>
          <w:lang w:val="en"/>
        </w:rPr>
        <w:t xml:space="preserve">other </w:t>
      </w:r>
      <w:proofErr w:type="spellStart"/>
      <w:r w:rsidR="000B7AC1" w:rsidRPr="00BE5D0A">
        <w:rPr>
          <w:lang w:val="en"/>
        </w:rPr>
        <w:t>organisations</w:t>
      </w:r>
      <w:proofErr w:type="spellEnd"/>
      <w:r w:rsidR="00753ADA" w:rsidRPr="00BE5D0A">
        <w:rPr>
          <w:lang w:val="en"/>
        </w:rPr>
        <w:t xml:space="preserve"> involved </w:t>
      </w:r>
      <w:r w:rsidR="004F4175" w:rsidRPr="00BE5D0A">
        <w:rPr>
          <w:lang w:val="en"/>
        </w:rPr>
        <w:t xml:space="preserve">in demonstrating their accountability </w:t>
      </w:r>
      <w:r w:rsidR="00B14602" w:rsidRPr="00BE5D0A">
        <w:rPr>
          <w:lang w:val="en"/>
        </w:rPr>
        <w:t xml:space="preserve">for their </w:t>
      </w:r>
      <w:r w:rsidR="000B7AC1" w:rsidRPr="00BE5D0A">
        <w:rPr>
          <w:lang w:val="en"/>
        </w:rPr>
        <w:t>process</w:t>
      </w:r>
      <w:r w:rsidR="00B14602" w:rsidRPr="00BE5D0A">
        <w:rPr>
          <w:lang w:val="en"/>
        </w:rPr>
        <w:t>ing of</w:t>
      </w:r>
      <w:r w:rsidR="000B7AC1" w:rsidRPr="00BE5D0A">
        <w:rPr>
          <w:lang w:val="en"/>
        </w:rPr>
        <w:t xml:space="preserve"> </w:t>
      </w:r>
      <w:r w:rsidR="004F4175" w:rsidRPr="00BE5D0A">
        <w:rPr>
          <w:lang w:val="en"/>
        </w:rPr>
        <w:t>personal data</w:t>
      </w:r>
      <w:r w:rsidR="000B7AC1" w:rsidRPr="00BE5D0A">
        <w:rPr>
          <w:lang w:val="en"/>
        </w:rPr>
        <w:t>.</w:t>
      </w:r>
      <w:r w:rsidR="0059047D" w:rsidRPr="00BE5D0A">
        <w:rPr>
          <w:i/>
          <w:iCs/>
          <w:lang w:val="en"/>
        </w:rPr>
        <w:t xml:space="preserve"> </w:t>
      </w:r>
    </w:p>
    <w:p w14:paraId="38881CF8" w14:textId="77777777" w:rsidR="0059047D" w:rsidRDefault="0059047D" w:rsidP="0059047D">
      <w:pPr>
        <w:pStyle w:val="ListParagraph"/>
        <w:ind w:left="851"/>
        <w:rPr>
          <w:i/>
          <w:iCs/>
          <w:lang w:val="en"/>
        </w:rPr>
      </w:pPr>
    </w:p>
    <w:p w14:paraId="00F7185A" w14:textId="001ECC16" w:rsidR="0059047D" w:rsidRPr="00407BA5" w:rsidRDefault="0059047D" w:rsidP="0059047D">
      <w:pPr>
        <w:pStyle w:val="ListParagraph"/>
        <w:ind w:left="851"/>
        <w:rPr>
          <w:i/>
          <w:iCs/>
          <w:lang w:val="en"/>
        </w:rPr>
      </w:pPr>
      <w:r w:rsidRPr="00407BA5">
        <w:rPr>
          <w:i/>
          <w:iCs/>
          <w:lang w:val="en"/>
        </w:rPr>
        <w:t>Data protection impact assessment</w:t>
      </w:r>
    </w:p>
    <w:p w14:paraId="226DE075" w14:textId="77777777" w:rsidR="0059047D" w:rsidRPr="00B74728" w:rsidRDefault="0059047D" w:rsidP="0059047D">
      <w:pPr>
        <w:pStyle w:val="ListParagraph"/>
        <w:rPr>
          <w:lang w:val="en"/>
        </w:rPr>
      </w:pPr>
    </w:p>
    <w:p w14:paraId="6C489EFA" w14:textId="47DA9712" w:rsidR="0059047D" w:rsidRDefault="0059047D" w:rsidP="0059047D">
      <w:pPr>
        <w:pStyle w:val="ListParagraph"/>
        <w:numPr>
          <w:ilvl w:val="0"/>
          <w:numId w:val="18"/>
        </w:numPr>
        <w:ind w:left="851" w:hanging="567"/>
        <w:rPr>
          <w:lang w:val="en"/>
        </w:rPr>
      </w:pPr>
      <w:r w:rsidRPr="00910353">
        <w:rPr>
          <w:lang w:val="en"/>
        </w:rPr>
        <w:t xml:space="preserve">A data protection impact assessment (DPIA) is a useful tool to help </w:t>
      </w:r>
      <w:proofErr w:type="spellStart"/>
      <w:r w:rsidRPr="00910353">
        <w:rPr>
          <w:lang w:val="en"/>
        </w:rPr>
        <w:t>organisations</w:t>
      </w:r>
      <w:proofErr w:type="spellEnd"/>
      <w:r w:rsidRPr="00910353">
        <w:rPr>
          <w:lang w:val="en"/>
        </w:rPr>
        <w:t xml:space="preserve"> identify risk and assess potential mitigating ste</w:t>
      </w:r>
      <w:r>
        <w:rPr>
          <w:lang w:val="en"/>
        </w:rPr>
        <w:t>ps. Undertaking a DPIA at an early stage will support a data protection by design approach to the STW and will help identify areas of risk which can inform future decisions on the project as they arise. It is also important to note that a DPIA is mandatory if the processing is likely to result in a high risk to individuals, or meets specified criteria</w:t>
      </w:r>
      <w:r>
        <w:rPr>
          <w:rStyle w:val="FootnoteReference"/>
          <w:lang w:val="en"/>
        </w:rPr>
        <w:footnoteReference w:id="2"/>
      </w:r>
      <w:r>
        <w:rPr>
          <w:lang w:val="en"/>
        </w:rPr>
        <w:t xml:space="preserve">. The DPIA will need regular review as the project develops. </w:t>
      </w:r>
      <w:r w:rsidRPr="00910353">
        <w:rPr>
          <w:lang w:val="en"/>
        </w:rPr>
        <w:t xml:space="preserve"> </w:t>
      </w:r>
    </w:p>
    <w:p w14:paraId="3907C42F" w14:textId="77777777" w:rsidR="0059047D" w:rsidRDefault="0059047D" w:rsidP="0059047D">
      <w:pPr>
        <w:pStyle w:val="ListParagraph"/>
        <w:ind w:left="851"/>
        <w:rPr>
          <w:lang w:val="en"/>
        </w:rPr>
      </w:pPr>
    </w:p>
    <w:p w14:paraId="751483BD" w14:textId="71C618EA" w:rsidR="0080124D" w:rsidRPr="0080124D" w:rsidRDefault="0045482D" w:rsidP="0080124D">
      <w:pPr>
        <w:pStyle w:val="ListParagraph"/>
        <w:ind w:left="851"/>
        <w:rPr>
          <w:i/>
          <w:iCs/>
          <w:lang w:val="en"/>
        </w:rPr>
      </w:pPr>
      <w:r>
        <w:rPr>
          <w:i/>
          <w:iCs/>
          <w:lang w:val="en"/>
        </w:rPr>
        <w:t>Da</w:t>
      </w:r>
      <w:r w:rsidR="00BE2E80">
        <w:rPr>
          <w:i/>
          <w:iCs/>
          <w:lang w:val="en"/>
        </w:rPr>
        <w:t>ta mapping and data</w:t>
      </w:r>
      <w:r>
        <w:rPr>
          <w:i/>
          <w:iCs/>
          <w:lang w:val="en"/>
        </w:rPr>
        <w:t xml:space="preserve"> sharing </w:t>
      </w:r>
    </w:p>
    <w:p w14:paraId="49176272" w14:textId="77777777" w:rsidR="007B232D" w:rsidRPr="007B232D" w:rsidRDefault="007B232D" w:rsidP="007B232D">
      <w:pPr>
        <w:pStyle w:val="ListParagraph"/>
        <w:rPr>
          <w:lang w:val="en"/>
        </w:rPr>
      </w:pPr>
    </w:p>
    <w:p w14:paraId="104D6E1E" w14:textId="77777777" w:rsidR="00AC0017" w:rsidRPr="00B21DAD" w:rsidRDefault="00AC0017" w:rsidP="00FA7E9B">
      <w:pPr>
        <w:pStyle w:val="ListParagraph"/>
        <w:numPr>
          <w:ilvl w:val="0"/>
          <w:numId w:val="18"/>
        </w:numPr>
        <w:ind w:left="851" w:hanging="567"/>
        <w:rPr>
          <w:lang w:val="en"/>
        </w:rPr>
      </w:pPr>
      <w:r w:rsidRPr="00673FA0">
        <w:rPr>
          <w:color w:val="000000"/>
          <w:shd w:val="clear" w:color="auto" w:fill="FFFFFF"/>
        </w:rPr>
        <w:t xml:space="preserve">Efficient sharing of data in the public sector can improve insights and outcomes, and increase options for recipients. </w:t>
      </w:r>
      <w:r>
        <w:t xml:space="preserve">Data protection law provides a framework to enable processing of personal data to be fair, lawful and transparent. </w:t>
      </w:r>
    </w:p>
    <w:p w14:paraId="05862CCD" w14:textId="77777777" w:rsidR="00AC0017" w:rsidRPr="00673FA0" w:rsidRDefault="00AC0017" w:rsidP="00AC0017">
      <w:pPr>
        <w:pStyle w:val="ListParagraph"/>
        <w:ind w:left="709"/>
        <w:rPr>
          <w:lang w:val="en"/>
        </w:rPr>
      </w:pPr>
    </w:p>
    <w:p w14:paraId="12B39EC8" w14:textId="79ED2609" w:rsidR="00046599" w:rsidRDefault="00F04198" w:rsidP="007B232D">
      <w:pPr>
        <w:pStyle w:val="ListParagraph"/>
        <w:numPr>
          <w:ilvl w:val="0"/>
          <w:numId w:val="18"/>
        </w:numPr>
        <w:ind w:left="851" w:hanging="567"/>
        <w:rPr>
          <w:lang w:val="en"/>
        </w:rPr>
      </w:pPr>
      <w:r w:rsidRPr="00673FA0">
        <w:rPr>
          <w:color w:val="000000"/>
          <w:shd w:val="clear" w:color="auto" w:fill="FFFFFF"/>
        </w:rPr>
        <w:t>D</w:t>
      </w:r>
      <w:proofErr w:type="spellStart"/>
      <w:r w:rsidRPr="00673FA0">
        <w:rPr>
          <w:lang w:val="en"/>
        </w:rPr>
        <w:t>ata</w:t>
      </w:r>
      <w:proofErr w:type="spellEnd"/>
      <w:r w:rsidRPr="00673FA0">
        <w:rPr>
          <w:lang w:val="en"/>
        </w:rPr>
        <w:t xml:space="preserve"> sharing is an important aspect of the </w:t>
      </w:r>
      <w:r>
        <w:rPr>
          <w:lang w:val="en"/>
        </w:rPr>
        <w:t xml:space="preserve">STW that HMRC will operate. </w:t>
      </w:r>
      <w:r w:rsidR="00892326">
        <w:rPr>
          <w:lang w:val="en"/>
        </w:rPr>
        <w:t>This is to be a</w:t>
      </w:r>
      <w:r w:rsidR="00046599">
        <w:rPr>
          <w:lang w:val="en"/>
        </w:rPr>
        <w:t xml:space="preserve"> </w:t>
      </w:r>
      <w:r w:rsidR="00E65427">
        <w:rPr>
          <w:lang w:val="en"/>
        </w:rPr>
        <w:t>new platform</w:t>
      </w:r>
      <w:r w:rsidR="00046599">
        <w:rPr>
          <w:lang w:val="en"/>
        </w:rPr>
        <w:t xml:space="preserve"> between border authorities and agencies and government, for both import and export purposes. </w:t>
      </w:r>
      <w:r w:rsidR="00C46E17">
        <w:rPr>
          <w:lang w:val="en"/>
        </w:rPr>
        <w:t xml:space="preserve">Aims </w:t>
      </w:r>
      <w:r w:rsidR="008033AD">
        <w:rPr>
          <w:lang w:val="en"/>
        </w:rPr>
        <w:t>behind this proposal</w:t>
      </w:r>
      <w:r w:rsidR="00C46E17">
        <w:rPr>
          <w:lang w:val="en"/>
        </w:rPr>
        <w:t xml:space="preserve"> includ</w:t>
      </w:r>
      <w:r w:rsidR="00F256FD">
        <w:rPr>
          <w:lang w:val="en"/>
        </w:rPr>
        <w:t>e</w:t>
      </w:r>
      <w:r w:rsidR="00C46E17">
        <w:rPr>
          <w:lang w:val="en"/>
        </w:rPr>
        <w:t xml:space="preserve"> avoiding</w:t>
      </w:r>
      <w:r w:rsidR="00046599">
        <w:rPr>
          <w:lang w:val="en"/>
        </w:rPr>
        <w:t xml:space="preserve"> the need for traders and intermediaries to use multiple portals and avoid</w:t>
      </w:r>
      <w:r w:rsidR="00C46E17">
        <w:rPr>
          <w:lang w:val="en"/>
        </w:rPr>
        <w:t>ing</w:t>
      </w:r>
      <w:r w:rsidR="00046599">
        <w:rPr>
          <w:lang w:val="en"/>
        </w:rPr>
        <w:t xml:space="preserve"> duplication</w:t>
      </w:r>
      <w:r w:rsidR="00C274DA">
        <w:rPr>
          <w:lang w:val="en"/>
        </w:rPr>
        <w:t>.</w:t>
      </w:r>
      <w:r w:rsidR="00F35EF4">
        <w:rPr>
          <w:lang w:val="en"/>
        </w:rPr>
        <w:t xml:space="preserve"> HMRC will share data it receives with other government departments and public bodies</w:t>
      </w:r>
      <w:r w:rsidR="00046599">
        <w:rPr>
          <w:lang w:val="en"/>
        </w:rPr>
        <w:t xml:space="preserve">. </w:t>
      </w:r>
    </w:p>
    <w:p w14:paraId="0FDF162E" w14:textId="77777777" w:rsidR="00046599" w:rsidRDefault="00046599" w:rsidP="007B232D">
      <w:pPr>
        <w:pStyle w:val="ListParagraph"/>
        <w:ind w:left="851" w:hanging="567"/>
        <w:rPr>
          <w:lang w:val="en"/>
        </w:rPr>
      </w:pPr>
    </w:p>
    <w:p w14:paraId="162B2C14" w14:textId="77777777" w:rsidR="00BC1437" w:rsidRDefault="00226362" w:rsidP="00BC1437">
      <w:pPr>
        <w:pStyle w:val="ListParagraph"/>
        <w:numPr>
          <w:ilvl w:val="0"/>
          <w:numId w:val="18"/>
        </w:numPr>
        <w:ind w:left="851" w:hanging="567"/>
        <w:rPr>
          <w:lang w:val="en"/>
        </w:rPr>
      </w:pPr>
      <w:r w:rsidRPr="00736626">
        <w:rPr>
          <w:lang w:val="en"/>
        </w:rPr>
        <w:t xml:space="preserve">This </w:t>
      </w:r>
      <w:r w:rsidR="00351E76" w:rsidRPr="00736626">
        <w:rPr>
          <w:lang w:val="en"/>
        </w:rPr>
        <w:t>approach m</w:t>
      </w:r>
      <w:r w:rsidR="00FE3E83" w:rsidRPr="00736626">
        <w:rPr>
          <w:lang w:val="en"/>
        </w:rPr>
        <w:t>ight</w:t>
      </w:r>
      <w:r w:rsidR="00351E76" w:rsidRPr="00736626">
        <w:rPr>
          <w:lang w:val="en"/>
        </w:rPr>
        <w:t xml:space="preserve"> </w:t>
      </w:r>
      <w:r w:rsidRPr="00736626">
        <w:rPr>
          <w:lang w:val="en"/>
        </w:rPr>
        <w:t xml:space="preserve">result in </w:t>
      </w:r>
      <w:r w:rsidR="00B950D2" w:rsidRPr="00736626">
        <w:rPr>
          <w:lang w:val="en"/>
        </w:rPr>
        <w:t xml:space="preserve">a </w:t>
      </w:r>
      <w:r w:rsidR="00351E76" w:rsidRPr="00736626">
        <w:rPr>
          <w:lang w:val="en"/>
        </w:rPr>
        <w:t>reduction in</w:t>
      </w:r>
      <w:r w:rsidR="00046599" w:rsidRPr="00736626">
        <w:rPr>
          <w:lang w:val="en"/>
        </w:rPr>
        <w:t xml:space="preserve"> the amount of personal data </w:t>
      </w:r>
      <w:r w:rsidR="0025389B" w:rsidRPr="00736626">
        <w:rPr>
          <w:lang w:val="en"/>
        </w:rPr>
        <w:t xml:space="preserve">that government needs to process </w:t>
      </w:r>
      <w:r w:rsidR="00C61FA7" w:rsidRPr="00736626">
        <w:rPr>
          <w:lang w:val="en"/>
        </w:rPr>
        <w:t>in some respects</w:t>
      </w:r>
      <w:r w:rsidR="00046599" w:rsidRPr="00736626">
        <w:rPr>
          <w:lang w:val="en"/>
        </w:rPr>
        <w:t>, as well as helping to address other inefficiencies. However, it will also introduce</w:t>
      </w:r>
      <w:r w:rsidR="00BB311C" w:rsidRPr="00736626">
        <w:rPr>
          <w:lang w:val="en"/>
        </w:rPr>
        <w:t xml:space="preserve"> </w:t>
      </w:r>
      <w:r w:rsidR="00046599" w:rsidRPr="00736626">
        <w:rPr>
          <w:lang w:val="en"/>
        </w:rPr>
        <w:t>new</w:t>
      </w:r>
      <w:r w:rsidR="00BB311C" w:rsidRPr="00736626">
        <w:rPr>
          <w:lang w:val="en"/>
        </w:rPr>
        <w:t xml:space="preserve"> systems for the collection</w:t>
      </w:r>
      <w:r w:rsidR="008C305F" w:rsidRPr="00736626">
        <w:rPr>
          <w:lang w:val="en"/>
        </w:rPr>
        <w:t xml:space="preserve"> of </w:t>
      </w:r>
      <w:r w:rsidR="00DA0897" w:rsidRPr="00736626">
        <w:rPr>
          <w:lang w:val="en"/>
        </w:rPr>
        <w:t xml:space="preserve">the data and there </w:t>
      </w:r>
      <w:r w:rsidR="00FE3E83" w:rsidRPr="00736626">
        <w:rPr>
          <w:lang w:val="en"/>
        </w:rPr>
        <w:t>could be</w:t>
      </w:r>
      <w:r w:rsidR="003C4FED" w:rsidRPr="00736626">
        <w:rPr>
          <w:lang w:val="en"/>
        </w:rPr>
        <w:t xml:space="preserve"> considerably more </w:t>
      </w:r>
      <w:r w:rsidR="00BB311C" w:rsidRPr="00736626">
        <w:rPr>
          <w:lang w:val="en"/>
        </w:rPr>
        <w:t xml:space="preserve">sharing of data </w:t>
      </w:r>
      <w:r w:rsidR="00AC6BA5" w:rsidRPr="00736626">
        <w:rPr>
          <w:lang w:val="en"/>
        </w:rPr>
        <w:t>between a large</w:t>
      </w:r>
      <w:r w:rsidR="00D747E3" w:rsidRPr="00736626">
        <w:rPr>
          <w:lang w:val="en"/>
        </w:rPr>
        <w:t>r</w:t>
      </w:r>
      <w:r w:rsidR="00AC6BA5" w:rsidRPr="00736626">
        <w:rPr>
          <w:lang w:val="en"/>
        </w:rPr>
        <w:t xml:space="preserve"> number of participants</w:t>
      </w:r>
      <w:r w:rsidR="00157FCE" w:rsidRPr="00736626">
        <w:rPr>
          <w:lang w:val="en"/>
        </w:rPr>
        <w:t xml:space="preserve">. This will apply to </w:t>
      </w:r>
      <w:r w:rsidR="00157FCE" w:rsidRPr="00736626">
        <w:rPr>
          <w:lang w:val="en"/>
        </w:rPr>
        <w:lastRenderedPageBreak/>
        <w:t xml:space="preserve">commercial </w:t>
      </w:r>
      <w:proofErr w:type="spellStart"/>
      <w:r w:rsidR="00157FCE" w:rsidRPr="00736626">
        <w:rPr>
          <w:lang w:val="en"/>
        </w:rPr>
        <w:t>organisations</w:t>
      </w:r>
      <w:proofErr w:type="spellEnd"/>
      <w:r w:rsidR="00157FCE" w:rsidRPr="00736626">
        <w:rPr>
          <w:lang w:val="en"/>
        </w:rPr>
        <w:t xml:space="preserve"> inputting data into the STW and to HMRC’s data sharing with government departments and public bodies. </w:t>
      </w:r>
    </w:p>
    <w:p w14:paraId="1146AAB3" w14:textId="77777777" w:rsidR="00BC1437" w:rsidRPr="00BC1437" w:rsidRDefault="00BC1437" w:rsidP="00BC1437">
      <w:pPr>
        <w:pStyle w:val="ListParagraph"/>
        <w:rPr>
          <w:lang w:val="en"/>
        </w:rPr>
      </w:pPr>
    </w:p>
    <w:p w14:paraId="6E017AFD" w14:textId="49C142C4" w:rsidR="004D6550" w:rsidRPr="00BC1437" w:rsidRDefault="00057650" w:rsidP="00BC1437">
      <w:pPr>
        <w:pStyle w:val="ListParagraph"/>
        <w:numPr>
          <w:ilvl w:val="0"/>
          <w:numId w:val="18"/>
        </w:numPr>
        <w:ind w:left="851" w:hanging="567"/>
        <w:rPr>
          <w:lang w:val="en"/>
        </w:rPr>
      </w:pPr>
      <w:r w:rsidRPr="00BC1437">
        <w:rPr>
          <w:lang w:val="en"/>
        </w:rPr>
        <w:t xml:space="preserve">For example, </w:t>
      </w:r>
      <w:r w:rsidR="00EE0B76" w:rsidRPr="00BC1437">
        <w:rPr>
          <w:lang w:val="en"/>
        </w:rPr>
        <w:t xml:space="preserve">commercial </w:t>
      </w:r>
      <w:proofErr w:type="spellStart"/>
      <w:r w:rsidRPr="00BC1437">
        <w:rPr>
          <w:lang w:val="en"/>
        </w:rPr>
        <w:t>o</w:t>
      </w:r>
      <w:r w:rsidR="00E13972" w:rsidRPr="00BC1437">
        <w:rPr>
          <w:lang w:val="en"/>
        </w:rPr>
        <w:t>rganisations</w:t>
      </w:r>
      <w:proofErr w:type="spellEnd"/>
      <w:r w:rsidRPr="00BC1437">
        <w:rPr>
          <w:lang w:val="en"/>
        </w:rPr>
        <w:t xml:space="preserve"> may benefit from the </w:t>
      </w:r>
      <w:r w:rsidR="000D60C0" w:rsidRPr="00BC1437">
        <w:rPr>
          <w:lang w:val="en"/>
        </w:rPr>
        <w:t xml:space="preserve">joint </w:t>
      </w:r>
      <w:r w:rsidRPr="00BC1437">
        <w:rPr>
          <w:lang w:val="en"/>
        </w:rPr>
        <w:t>approach</w:t>
      </w:r>
      <w:r w:rsidR="0066623D" w:rsidRPr="00BC1437">
        <w:rPr>
          <w:lang w:val="en"/>
        </w:rPr>
        <w:t xml:space="preserve"> of </w:t>
      </w:r>
      <w:r w:rsidRPr="00BC1437">
        <w:rPr>
          <w:lang w:val="en"/>
        </w:rPr>
        <w:t>mak</w:t>
      </w:r>
      <w:r w:rsidR="0066623D" w:rsidRPr="00BC1437">
        <w:rPr>
          <w:lang w:val="en"/>
        </w:rPr>
        <w:t>ing</w:t>
      </w:r>
      <w:r w:rsidRPr="00BC1437">
        <w:rPr>
          <w:lang w:val="en"/>
        </w:rPr>
        <w:t xml:space="preserve"> submissions to the STW by ‘multi-filing’</w:t>
      </w:r>
      <w:r w:rsidR="00E7719C" w:rsidRPr="00BC1437">
        <w:rPr>
          <w:lang w:val="en"/>
        </w:rPr>
        <w:t xml:space="preserve">, which might help to streamline the process. </w:t>
      </w:r>
      <w:r w:rsidR="009F1AEC" w:rsidRPr="00BC1437">
        <w:rPr>
          <w:lang w:val="en"/>
        </w:rPr>
        <w:t xml:space="preserve">Government will </w:t>
      </w:r>
      <w:r w:rsidR="00B56F50" w:rsidRPr="00BC1437">
        <w:rPr>
          <w:lang w:val="en"/>
        </w:rPr>
        <w:t xml:space="preserve">decide on </w:t>
      </w:r>
      <w:r w:rsidR="00910F2B" w:rsidRPr="00BC1437">
        <w:rPr>
          <w:lang w:val="en"/>
        </w:rPr>
        <w:t xml:space="preserve">how </w:t>
      </w:r>
      <w:r w:rsidR="005500B6" w:rsidRPr="00BC1437">
        <w:rPr>
          <w:lang w:val="en"/>
        </w:rPr>
        <w:t xml:space="preserve">best </w:t>
      </w:r>
      <w:r w:rsidR="00910F2B" w:rsidRPr="00BC1437">
        <w:rPr>
          <w:lang w:val="en"/>
        </w:rPr>
        <w:t>to manage the</w:t>
      </w:r>
      <w:r w:rsidR="009F1AEC" w:rsidRPr="00BC1437">
        <w:rPr>
          <w:lang w:val="en"/>
        </w:rPr>
        <w:t xml:space="preserve"> legal responsibility for filing in these situations. </w:t>
      </w:r>
      <w:r w:rsidR="00FC6D3D" w:rsidRPr="00BC1437">
        <w:rPr>
          <w:lang w:val="en"/>
        </w:rPr>
        <w:t xml:space="preserve">However, multi-filing will need </w:t>
      </w:r>
      <w:r w:rsidR="00E0711D" w:rsidRPr="00BC1437">
        <w:rPr>
          <w:lang w:val="en"/>
        </w:rPr>
        <w:t>a collaborative approach to the protection of the personal data</w:t>
      </w:r>
      <w:r w:rsidR="00D11814" w:rsidRPr="00BC1437">
        <w:rPr>
          <w:lang w:val="en"/>
        </w:rPr>
        <w:t xml:space="preserve"> involved</w:t>
      </w:r>
      <w:r w:rsidR="00E0711D" w:rsidRPr="00BC1437">
        <w:rPr>
          <w:lang w:val="en"/>
        </w:rPr>
        <w:t xml:space="preserve">. </w:t>
      </w:r>
      <w:r w:rsidR="00FB103F" w:rsidRPr="00BC1437">
        <w:rPr>
          <w:lang w:val="en"/>
        </w:rPr>
        <w:t xml:space="preserve">Similarly, </w:t>
      </w:r>
      <w:r w:rsidR="005500B6" w:rsidRPr="00BC1437">
        <w:rPr>
          <w:lang w:val="en"/>
        </w:rPr>
        <w:t xml:space="preserve">HMRC will need to collaborate closely with </w:t>
      </w:r>
      <w:r w:rsidR="00CE411E" w:rsidRPr="00BC1437">
        <w:rPr>
          <w:lang w:val="en"/>
        </w:rPr>
        <w:t xml:space="preserve">those </w:t>
      </w:r>
      <w:proofErr w:type="spellStart"/>
      <w:r w:rsidR="00CE411E" w:rsidRPr="00BC1437">
        <w:rPr>
          <w:lang w:val="en"/>
        </w:rPr>
        <w:t>organisations</w:t>
      </w:r>
      <w:proofErr w:type="spellEnd"/>
      <w:r w:rsidR="00CE411E" w:rsidRPr="00BC1437">
        <w:rPr>
          <w:lang w:val="en"/>
        </w:rPr>
        <w:t xml:space="preserve"> with whom it will share personal data. </w:t>
      </w:r>
    </w:p>
    <w:p w14:paraId="49D83585" w14:textId="77777777" w:rsidR="004D6550" w:rsidRPr="004D6550" w:rsidRDefault="004D6550" w:rsidP="004D6550">
      <w:pPr>
        <w:pStyle w:val="ListParagraph"/>
        <w:rPr>
          <w:lang w:val="en"/>
        </w:rPr>
      </w:pPr>
    </w:p>
    <w:p w14:paraId="4D904A57" w14:textId="489899A7" w:rsidR="00C629DA" w:rsidRDefault="00976401" w:rsidP="00A3422D">
      <w:pPr>
        <w:pStyle w:val="ListParagraph"/>
        <w:numPr>
          <w:ilvl w:val="0"/>
          <w:numId w:val="18"/>
        </w:numPr>
        <w:ind w:left="851" w:hanging="567"/>
        <w:rPr>
          <w:lang w:val="en"/>
        </w:rPr>
      </w:pPr>
      <w:r w:rsidRPr="00245A54">
        <w:rPr>
          <w:lang w:val="en"/>
        </w:rPr>
        <w:t>The</w:t>
      </w:r>
      <w:r w:rsidR="007D6ED1">
        <w:rPr>
          <w:lang w:val="en"/>
        </w:rPr>
        <w:t xml:space="preserve"> </w:t>
      </w:r>
      <w:r w:rsidR="00ED4127">
        <w:rPr>
          <w:lang w:val="en"/>
        </w:rPr>
        <w:t xml:space="preserve">potential for </w:t>
      </w:r>
      <w:r w:rsidR="007D6ED1">
        <w:rPr>
          <w:lang w:val="en"/>
        </w:rPr>
        <w:t xml:space="preserve">complex </w:t>
      </w:r>
      <w:r w:rsidR="002E3ECF">
        <w:rPr>
          <w:lang w:val="en"/>
        </w:rPr>
        <w:t xml:space="preserve">data sharing </w:t>
      </w:r>
      <w:r w:rsidR="007D6ED1">
        <w:rPr>
          <w:lang w:val="en"/>
        </w:rPr>
        <w:t xml:space="preserve">relationships </w:t>
      </w:r>
      <w:r w:rsidR="002E3ECF">
        <w:rPr>
          <w:lang w:val="en"/>
        </w:rPr>
        <w:t>between commercial</w:t>
      </w:r>
      <w:r w:rsidR="007D6ED1">
        <w:rPr>
          <w:lang w:val="en"/>
        </w:rPr>
        <w:t xml:space="preserve"> </w:t>
      </w:r>
      <w:proofErr w:type="spellStart"/>
      <w:r w:rsidR="007D6ED1">
        <w:rPr>
          <w:lang w:val="en"/>
        </w:rPr>
        <w:t>organisations</w:t>
      </w:r>
      <w:proofErr w:type="spellEnd"/>
      <w:r w:rsidR="007D6ED1">
        <w:rPr>
          <w:lang w:val="en"/>
        </w:rPr>
        <w:t xml:space="preserve"> and the public sector in the STW sugge</w:t>
      </w:r>
      <w:r w:rsidR="002E3ECF">
        <w:rPr>
          <w:lang w:val="en"/>
        </w:rPr>
        <w:t>s</w:t>
      </w:r>
      <w:r w:rsidR="007D6ED1">
        <w:rPr>
          <w:lang w:val="en"/>
        </w:rPr>
        <w:t>t</w:t>
      </w:r>
      <w:r w:rsidR="002E3ECF">
        <w:rPr>
          <w:lang w:val="en"/>
        </w:rPr>
        <w:t>s</w:t>
      </w:r>
      <w:r w:rsidR="007D6ED1">
        <w:rPr>
          <w:lang w:val="en"/>
        </w:rPr>
        <w:t xml:space="preserve"> the </w:t>
      </w:r>
      <w:r w:rsidR="00D73117">
        <w:rPr>
          <w:lang w:val="en"/>
        </w:rPr>
        <w:t xml:space="preserve">need for a </w:t>
      </w:r>
      <w:r w:rsidR="005963B4" w:rsidRPr="00245A54">
        <w:rPr>
          <w:lang w:val="en"/>
        </w:rPr>
        <w:t xml:space="preserve">comprehensive data mapping exercise </w:t>
      </w:r>
      <w:r w:rsidR="006E3ABD">
        <w:rPr>
          <w:lang w:val="en"/>
        </w:rPr>
        <w:t>t</w:t>
      </w:r>
      <w:r w:rsidR="005963B4" w:rsidRPr="00245A54">
        <w:rPr>
          <w:lang w:val="en"/>
        </w:rPr>
        <w:t>o plot out the proposed data flows</w:t>
      </w:r>
      <w:r w:rsidR="00EC133F">
        <w:rPr>
          <w:lang w:val="en"/>
        </w:rPr>
        <w:t xml:space="preserve">, as </w:t>
      </w:r>
      <w:r w:rsidR="00300668">
        <w:rPr>
          <w:lang w:val="en"/>
        </w:rPr>
        <w:t xml:space="preserve">part of </w:t>
      </w:r>
      <w:r w:rsidR="00EC133F">
        <w:rPr>
          <w:lang w:val="en"/>
        </w:rPr>
        <w:t>a data protection b</w:t>
      </w:r>
      <w:r w:rsidR="00B370A2">
        <w:rPr>
          <w:lang w:val="en"/>
        </w:rPr>
        <w:t>y</w:t>
      </w:r>
      <w:r w:rsidR="00EC133F">
        <w:rPr>
          <w:lang w:val="en"/>
        </w:rPr>
        <w:t xml:space="preserve"> design approach.</w:t>
      </w:r>
      <w:r w:rsidR="00736626">
        <w:rPr>
          <w:lang w:val="en"/>
        </w:rPr>
        <w:t xml:space="preserve"> Such an exercise needs to include clarity about the specific fields of personal data that HMRC or others might req</w:t>
      </w:r>
      <w:r w:rsidR="00EC4D81">
        <w:rPr>
          <w:lang w:val="en"/>
        </w:rPr>
        <w:t>uire for each of the stated purposes.</w:t>
      </w:r>
      <w:r w:rsidR="00EC133F">
        <w:rPr>
          <w:lang w:val="en"/>
        </w:rPr>
        <w:t xml:space="preserve"> </w:t>
      </w:r>
      <w:r w:rsidR="00B370A2">
        <w:rPr>
          <w:lang w:val="en"/>
        </w:rPr>
        <w:t xml:space="preserve">This will </w:t>
      </w:r>
      <w:r w:rsidR="00D82CD5" w:rsidRPr="00245A54">
        <w:rPr>
          <w:lang w:val="en"/>
        </w:rPr>
        <w:t xml:space="preserve">clarify </w:t>
      </w:r>
      <w:r w:rsidR="00A13AEF" w:rsidRPr="00245A54">
        <w:rPr>
          <w:lang w:val="en"/>
        </w:rPr>
        <w:t xml:space="preserve">specific areas of challenge and opportunity. </w:t>
      </w:r>
      <w:r w:rsidR="004E512B">
        <w:rPr>
          <w:lang w:val="en"/>
        </w:rPr>
        <w:t xml:space="preserve">More specifically, a mapping exercise </w:t>
      </w:r>
      <w:r w:rsidR="00A13AEF" w:rsidRPr="00245A54">
        <w:rPr>
          <w:lang w:val="en"/>
        </w:rPr>
        <w:t>is l</w:t>
      </w:r>
      <w:r w:rsidR="005963B4" w:rsidRPr="00245A54">
        <w:rPr>
          <w:lang w:val="en"/>
        </w:rPr>
        <w:t xml:space="preserve">ikely to highlight </w:t>
      </w:r>
      <w:r w:rsidR="00910353" w:rsidRPr="00245A54">
        <w:rPr>
          <w:lang w:val="en"/>
        </w:rPr>
        <w:t>inter</w:t>
      </w:r>
      <w:r w:rsidR="005963B4" w:rsidRPr="00245A54">
        <w:rPr>
          <w:lang w:val="en"/>
        </w:rPr>
        <w:t xml:space="preserve">dependencies </w:t>
      </w:r>
      <w:r w:rsidR="00CF69A4" w:rsidRPr="00245A54">
        <w:rPr>
          <w:lang w:val="en"/>
        </w:rPr>
        <w:t>and</w:t>
      </w:r>
      <w:r w:rsidR="00EC4D81">
        <w:rPr>
          <w:lang w:val="en"/>
        </w:rPr>
        <w:t xml:space="preserve"> complexities that HMRC </w:t>
      </w:r>
      <w:r w:rsidR="009B641E">
        <w:rPr>
          <w:lang w:val="en"/>
        </w:rPr>
        <w:t>or Cabinet Office will need to address, including areas</w:t>
      </w:r>
      <w:r w:rsidR="005963B4" w:rsidRPr="00245A54">
        <w:rPr>
          <w:lang w:val="en"/>
        </w:rPr>
        <w:t xml:space="preserve"> which might present risks to individuals. </w:t>
      </w:r>
      <w:r w:rsidR="005A74A6" w:rsidRPr="00245A54">
        <w:rPr>
          <w:lang w:val="en"/>
        </w:rPr>
        <w:t xml:space="preserve">It </w:t>
      </w:r>
      <w:r w:rsidR="009B641E">
        <w:rPr>
          <w:lang w:val="en"/>
        </w:rPr>
        <w:t xml:space="preserve">is also likely to </w:t>
      </w:r>
      <w:r w:rsidR="005A74A6" w:rsidRPr="00245A54">
        <w:rPr>
          <w:lang w:val="en"/>
        </w:rPr>
        <w:t xml:space="preserve">highlight </w:t>
      </w:r>
      <w:r w:rsidR="00CF69A4" w:rsidRPr="00245A54">
        <w:rPr>
          <w:lang w:val="en"/>
        </w:rPr>
        <w:t xml:space="preserve">where </w:t>
      </w:r>
      <w:r w:rsidR="009B641E">
        <w:rPr>
          <w:lang w:val="en"/>
        </w:rPr>
        <w:t xml:space="preserve">HMRC or wider </w:t>
      </w:r>
      <w:r w:rsidR="00CF69A4" w:rsidRPr="00245A54">
        <w:rPr>
          <w:lang w:val="en"/>
        </w:rPr>
        <w:t xml:space="preserve">government </w:t>
      </w:r>
      <w:r w:rsidR="009B641E">
        <w:rPr>
          <w:lang w:val="en"/>
        </w:rPr>
        <w:t xml:space="preserve">might usefully </w:t>
      </w:r>
      <w:r w:rsidR="00DB1A00">
        <w:rPr>
          <w:lang w:val="en"/>
        </w:rPr>
        <w:t>p</w:t>
      </w:r>
      <w:r w:rsidR="005A74A6" w:rsidRPr="00245A54">
        <w:rPr>
          <w:lang w:val="en"/>
        </w:rPr>
        <w:t>lay a part</w:t>
      </w:r>
      <w:r w:rsidR="00CF69A4" w:rsidRPr="00245A54">
        <w:rPr>
          <w:lang w:val="en"/>
        </w:rPr>
        <w:t xml:space="preserve">, for example, </w:t>
      </w:r>
      <w:r w:rsidR="002A405B">
        <w:rPr>
          <w:lang w:val="en"/>
        </w:rPr>
        <w:t>by</w:t>
      </w:r>
      <w:r w:rsidR="00CF69A4" w:rsidRPr="00245A54">
        <w:rPr>
          <w:lang w:val="en"/>
        </w:rPr>
        <w:t xml:space="preserve"> signposting guidance to </w:t>
      </w:r>
      <w:r w:rsidR="003671FC">
        <w:rPr>
          <w:lang w:val="en"/>
        </w:rPr>
        <w:t>help</w:t>
      </w:r>
      <w:r w:rsidR="00245A54" w:rsidRPr="00245A54">
        <w:rPr>
          <w:lang w:val="en"/>
        </w:rPr>
        <w:t xml:space="preserve"> </w:t>
      </w:r>
      <w:proofErr w:type="spellStart"/>
      <w:r w:rsidR="00245A54" w:rsidRPr="00245A54">
        <w:rPr>
          <w:lang w:val="en"/>
        </w:rPr>
        <w:t>organisations</w:t>
      </w:r>
      <w:proofErr w:type="spellEnd"/>
      <w:r w:rsidR="00245A54" w:rsidRPr="00245A54">
        <w:rPr>
          <w:lang w:val="en"/>
        </w:rPr>
        <w:t xml:space="preserve"> comply with their obligations under data protection legis</w:t>
      </w:r>
      <w:r w:rsidR="00245A54">
        <w:rPr>
          <w:lang w:val="en"/>
        </w:rPr>
        <w:t>lation</w:t>
      </w:r>
      <w:r w:rsidR="00245A54" w:rsidRPr="00245A54">
        <w:rPr>
          <w:lang w:val="en"/>
        </w:rPr>
        <w:t xml:space="preserve">. </w:t>
      </w:r>
    </w:p>
    <w:p w14:paraId="68447CD4" w14:textId="77777777" w:rsidR="000547EC" w:rsidRPr="000547EC" w:rsidRDefault="000547EC" w:rsidP="000547EC">
      <w:pPr>
        <w:pStyle w:val="ListParagraph"/>
        <w:rPr>
          <w:lang w:val="en"/>
        </w:rPr>
      </w:pPr>
    </w:p>
    <w:p w14:paraId="6117CF53" w14:textId="1361FBA4" w:rsidR="000547EC" w:rsidRDefault="000547EC" w:rsidP="000547EC">
      <w:pPr>
        <w:pStyle w:val="ListParagraph"/>
        <w:numPr>
          <w:ilvl w:val="0"/>
          <w:numId w:val="18"/>
        </w:numPr>
        <w:ind w:left="851" w:hanging="567"/>
        <w:rPr>
          <w:lang w:val="en"/>
        </w:rPr>
      </w:pPr>
      <w:r>
        <w:rPr>
          <w:lang w:val="en"/>
        </w:rPr>
        <w:t xml:space="preserve">Any data mapping exercise will feed into the DPIA and will form part of the overall assessment it contains. It should also be kept under review and reflect any changes as the project develops. </w:t>
      </w:r>
    </w:p>
    <w:p w14:paraId="4C0359A8" w14:textId="77777777" w:rsidR="00B857D1" w:rsidRPr="00B857D1" w:rsidRDefault="00B857D1" w:rsidP="00B857D1">
      <w:pPr>
        <w:pStyle w:val="ListParagraph"/>
        <w:rPr>
          <w:lang w:val="en"/>
        </w:rPr>
      </w:pPr>
    </w:p>
    <w:p w14:paraId="1B939580" w14:textId="58E57CCC" w:rsidR="00C572A8" w:rsidRDefault="00C572A8" w:rsidP="00663810">
      <w:pPr>
        <w:pStyle w:val="ListParagraph"/>
        <w:numPr>
          <w:ilvl w:val="0"/>
          <w:numId w:val="18"/>
        </w:numPr>
        <w:ind w:left="851" w:hanging="567"/>
        <w:rPr>
          <w:lang w:val="en"/>
        </w:rPr>
      </w:pPr>
      <w:r>
        <w:rPr>
          <w:lang w:val="en"/>
        </w:rPr>
        <w:t xml:space="preserve">Before </w:t>
      </w:r>
      <w:r w:rsidR="009C65C5">
        <w:rPr>
          <w:lang w:val="en"/>
        </w:rPr>
        <w:t>data sharing takes place</w:t>
      </w:r>
      <w:r>
        <w:rPr>
          <w:lang w:val="en"/>
        </w:rPr>
        <w:t xml:space="preserve">, Cabinet Office and HMRC will also need to ensure that they have established a clear framework for data sharing with </w:t>
      </w:r>
      <w:r w:rsidR="00336934">
        <w:rPr>
          <w:lang w:val="en"/>
        </w:rPr>
        <w:t>all</w:t>
      </w:r>
      <w:r>
        <w:rPr>
          <w:lang w:val="en"/>
        </w:rPr>
        <w:t xml:space="preserve"> </w:t>
      </w:r>
      <w:proofErr w:type="spellStart"/>
      <w:r>
        <w:rPr>
          <w:lang w:val="en"/>
        </w:rPr>
        <w:t>organisations</w:t>
      </w:r>
      <w:proofErr w:type="spellEnd"/>
      <w:r>
        <w:rPr>
          <w:lang w:val="en"/>
        </w:rPr>
        <w:t xml:space="preserve"> concerned. Data sharing agreements set out the purpose of data sharing, including what happens to the data at each stage. They also help everyone participating in the data sharing to be clear about their roles and responsibilities. </w:t>
      </w:r>
      <w:r w:rsidR="009C65C5">
        <w:rPr>
          <w:lang w:val="en"/>
        </w:rPr>
        <w:t xml:space="preserve">Public authorities involved in the STW </w:t>
      </w:r>
      <w:r>
        <w:rPr>
          <w:lang w:val="en"/>
        </w:rPr>
        <w:t xml:space="preserve">will also need to include  details of the types of information </w:t>
      </w:r>
      <w:r w:rsidR="009C65C5">
        <w:rPr>
          <w:lang w:val="en"/>
        </w:rPr>
        <w:t>they</w:t>
      </w:r>
      <w:r>
        <w:rPr>
          <w:lang w:val="en"/>
        </w:rPr>
        <w:t xml:space="preserve"> include in </w:t>
      </w:r>
      <w:r w:rsidR="009C65C5">
        <w:rPr>
          <w:lang w:val="en"/>
        </w:rPr>
        <w:t>their</w:t>
      </w:r>
      <w:r>
        <w:rPr>
          <w:lang w:val="en"/>
        </w:rPr>
        <w:t xml:space="preserve"> freedom of information publication scheme</w:t>
      </w:r>
      <w:r w:rsidR="009C65C5">
        <w:rPr>
          <w:lang w:val="en"/>
        </w:rPr>
        <w:t>s</w:t>
      </w:r>
      <w:r>
        <w:rPr>
          <w:lang w:val="en"/>
        </w:rPr>
        <w:t>.</w:t>
      </w:r>
      <w:r w:rsidRPr="00C938D7">
        <w:rPr>
          <w:lang w:val="en"/>
        </w:rPr>
        <w:t xml:space="preserve"> </w:t>
      </w:r>
      <w:r>
        <w:rPr>
          <w:lang w:val="en"/>
        </w:rPr>
        <w:t>The ICO’s data sharing information hub, which includes the ICO’s data sharing code, provides valuable resources</w:t>
      </w:r>
      <w:r>
        <w:rPr>
          <w:rStyle w:val="FootnoteReference"/>
          <w:lang w:val="en"/>
        </w:rPr>
        <w:footnoteReference w:id="3"/>
      </w:r>
      <w:r>
        <w:rPr>
          <w:lang w:val="en"/>
        </w:rPr>
        <w:t xml:space="preserve"> in this context.   </w:t>
      </w:r>
    </w:p>
    <w:p w14:paraId="07DB0A3F" w14:textId="77777777" w:rsidR="00C572A8" w:rsidRDefault="00C572A8" w:rsidP="00C572A8">
      <w:pPr>
        <w:pStyle w:val="ListParagraph"/>
      </w:pPr>
    </w:p>
    <w:p w14:paraId="7924D5F2" w14:textId="4F97CA24" w:rsidR="00C572A8" w:rsidRPr="00827292" w:rsidRDefault="00C572A8" w:rsidP="00295812">
      <w:pPr>
        <w:pStyle w:val="ListParagraph"/>
        <w:numPr>
          <w:ilvl w:val="0"/>
          <w:numId w:val="18"/>
        </w:numPr>
        <w:ind w:left="851" w:hanging="567"/>
        <w:rPr>
          <w:lang w:val="en"/>
        </w:rPr>
      </w:pPr>
      <w:r>
        <w:t xml:space="preserve">If </w:t>
      </w:r>
      <w:r w:rsidR="00295812">
        <w:t xml:space="preserve">organisations, including </w:t>
      </w:r>
      <w:r>
        <w:t>HMRC</w:t>
      </w:r>
      <w:r w:rsidR="00295812">
        <w:t>, do</w:t>
      </w:r>
      <w:r>
        <w:t xml:space="preserve"> not need personal data to achieve </w:t>
      </w:r>
      <w:r w:rsidR="00295812">
        <w:t>their</w:t>
      </w:r>
      <w:r>
        <w:t xml:space="preserve"> objectives, then </w:t>
      </w:r>
      <w:r w:rsidR="00295812">
        <w:t>they</w:t>
      </w:r>
      <w:r>
        <w:t xml:space="preserve"> should seek to use anonymous information instead.</w:t>
      </w:r>
      <w:r w:rsidRPr="00827292">
        <w:rPr>
          <w:lang w:val="en"/>
        </w:rPr>
        <w:t xml:space="preserve"> W</w:t>
      </w:r>
      <w:proofErr w:type="spellStart"/>
      <w:r>
        <w:t>e</w:t>
      </w:r>
      <w:proofErr w:type="spellEnd"/>
      <w:r>
        <w:t xml:space="preserve"> have published a call for views on our draft guidance on anonymisation which is likely to be of assistance</w:t>
      </w:r>
      <w:r>
        <w:rPr>
          <w:rStyle w:val="FootnoteReference"/>
        </w:rPr>
        <w:footnoteReference w:id="4"/>
      </w:r>
      <w:r>
        <w:t xml:space="preserve"> in this respect.</w:t>
      </w:r>
    </w:p>
    <w:p w14:paraId="63E8EBCA" w14:textId="77777777" w:rsidR="00092263" w:rsidRPr="00C572A8" w:rsidRDefault="00092263" w:rsidP="00092263">
      <w:pPr>
        <w:pStyle w:val="ListParagraph"/>
      </w:pPr>
    </w:p>
    <w:p w14:paraId="1C1821D6" w14:textId="134E9369" w:rsidR="0099298F" w:rsidRPr="0099298F" w:rsidRDefault="009D1433" w:rsidP="0099298F">
      <w:pPr>
        <w:pStyle w:val="ListParagraph"/>
        <w:ind w:left="851"/>
        <w:rPr>
          <w:i/>
          <w:iCs/>
          <w:lang w:val="en"/>
        </w:rPr>
      </w:pPr>
      <w:r>
        <w:rPr>
          <w:i/>
          <w:iCs/>
          <w:lang w:val="en"/>
        </w:rPr>
        <w:t>Necessity</w:t>
      </w:r>
      <w:r w:rsidR="004A6831">
        <w:rPr>
          <w:i/>
          <w:iCs/>
          <w:lang w:val="en"/>
        </w:rPr>
        <w:t xml:space="preserve"> and</w:t>
      </w:r>
      <w:r w:rsidR="00A67916">
        <w:rPr>
          <w:i/>
          <w:iCs/>
          <w:lang w:val="en"/>
        </w:rPr>
        <w:t xml:space="preserve"> </w:t>
      </w:r>
      <w:r>
        <w:rPr>
          <w:i/>
          <w:iCs/>
          <w:lang w:val="en"/>
        </w:rPr>
        <w:t>proportionality</w:t>
      </w:r>
    </w:p>
    <w:p w14:paraId="76472222" w14:textId="77777777" w:rsidR="0074476B" w:rsidRPr="0074476B" w:rsidRDefault="0074476B" w:rsidP="0074476B">
      <w:pPr>
        <w:pStyle w:val="ListParagraph"/>
        <w:rPr>
          <w:lang w:val="en"/>
        </w:rPr>
      </w:pPr>
    </w:p>
    <w:p w14:paraId="0667F63B" w14:textId="77777777" w:rsidR="00FA7E9B" w:rsidRPr="00FA7E9B" w:rsidRDefault="00227FE7" w:rsidP="00FA7E9B">
      <w:pPr>
        <w:pStyle w:val="ListParagraph"/>
        <w:numPr>
          <w:ilvl w:val="0"/>
          <w:numId w:val="18"/>
        </w:numPr>
        <w:ind w:left="851" w:hanging="567"/>
        <w:rPr>
          <w:lang w:val="en"/>
        </w:rPr>
      </w:pPr>
      <w:r>
        <w:t xml:space="preserve">Most of the </w:t>
      </w:r>
      <w:r w:rsidR="00B371F9">
        <w:t>potential lawful bases for processing under UK</w:t>
      </w:r>
      <w:r w:rsidR="001F3CF4">
        <w:t xml:space="preserve"> GDPR</w:t>
      </w:r>
      <w:r>
        <w:t xml:space="preserve"> require the processing to be necessary</w:t>
      </w:r>
      <w:r w:rsidR="004029DA">
        <w:rPr>
          <w:rStyle w:val="FootnoteReference"/>
        </w:rPr>
        <w:footnoteReference w:id="5"/>
      </w:r>
      <w:r w:rsidR="002B34AB">
        <w:t xml:space="preserve">. </w:t>
      </w:r>
      <w:r w:rsidR="00DE6419">
        <w:t>Necessity in th</w:t>
      </w:r>
      <w:r w:rsidR="001F3CF4">
        <w:t>is context</w:t>
      </w:r>
      <w:r>
        <w:t xml:space="preserve"> is closely linked to the </w:t>
      </w:r>
      <w:r w:rsidR="00602C5D">
        <w:t xml:space="preserve">need for </w:t>
      </w:r>
      <w:r w:rsidR="00DE6419">
        <w:t>proportionality</w:t>
      </w:r>
      <w:r>
        <w:t>, and together, these principles</w:t>
      </w:r>
      <w:r w:rsidR="00F51C2B">
        <w:t xml:space="preserve"> help </w:t>
      </w:r>
      <w:r w:rsidR="00814B0F">
        <w:t xml:space="preserve">to </w:t>
      </w:r>
      <w:r w:rsidR="00F51C2B">
        <w:t xml:space="preserve"> establish</w:t>
      </w:r>
      <w:r w:rsidR="00814B0F">
        <w:t xml:space="preserve"> that the processing is fair and results in fair outcomes. C</w:t>
      </w:r>
      <w:r w:rsidR="008B0A9B">
        <w:t xml:space="preserve">ontrollers need to be satisfied that the processing is a targeted and proportionate way to achieve the aim and that the aim cannot be achieved in a less intrusive way. </w:t>
      </w:r>
    </w:p>
    <w:p w14:paraId="7915C949" w14:textId="77777777" w:rsidR="00FA7E9B" w:rsidRPr="00FA7E9B" w:rsidRDefault="00FA7E9B" w:rsidP="00FA7E9B">
      <w:pPr>
        <w:pStyle w:val="ListParagraph"/>
        <w:ind w:left="851"/>
        <w:rPr>
          <w:lang w:val="en"/>
        </w:rPr>
      </w:pPr>
    </w:p>
    <w:p w14:paraId="45D6D4C2" w14:textId="5D5DF891" w:rsidR="00D9608A" w:rsidRPr="00FA7E9B" w:rsidRDefault="00B03CC0" w:rsidP="00FA7E9B">
      <w:pPr>
        <w:pStyle w:val="ListParagraph"/>
        <w:numPr>
          <w:ilvl w:val="0"/>
          <w:numId w:val="18"/>
        </w:numPr>
        <w:ind w:left="851" w:hanging="567"/>
        <w:rPr>
          <w:lang w:val="en"/>
        </w:rPr>
      </w:pPr>
      <w:r>
        <w:t xml:space="preserve">The principles of necessity and proportionality are closely linked to the fundamental data protection principles of </w:t>
      </w:r>
      <w:r w:rsidR="00AC3E70" w:rsidRPr="00FA7E9B">
        <w:rPr>
          <w:lang w:val="en"/>
        </w:rPr>
        <w:t>principles of purpose limitation,</w:t>
      </w:r>
      <w:r w:rsidR="00AC3E70">
        <w:rPr>
          <w:rStyle w:val="FootnoteReference"/>
          <w:lang w:val="en"/>
        </w:rPr>
        <w:footnoteReference w:id="6"/>
      </w:r>
      <w:r w:rsidR="00AC3E70" w:rsidRPr="00FA7E9B">
        <w:rPr>
          <w:lang w:val="en"/>
        </w:rPr>
        <w:t xml:space="preserve"> data </w:t>
      </w:r>
      <w:proofErr w:type="spellStart"/>
      <w:r w:rsidR="00AC3E70" w:rsidRPr="00FA7E9B">
        <w:rPr>
          <w:lang w:val="en"/>
        </w:rPr>
        <w:t>minimisation</w:t>
      </w:r>
      <w:proofErr w:type="spellEnd"/>
      <w:r w:rsidR="00AC3E70">
        <w:rPr>
          <w:rStyle w:val="FootnoteReference"/>
          <w:lang w:val="en"/>
        </w:rPr>
        <w:footnoteReference w:id="7"/>
      </w:r>
      <w:r w:rsidR="00AC3E70" w:rsidRPr="00FA7E9B">
        <w:rPr>
          <w:lang w:val="en"/>
        </w:rPr>
        <w:t xml:space="preserve"> and accuracy</w:t>
      </w:r>
      <w:r w:rsidR="00AC3E70">
        <w:rPr>
          <w:rStyle w:val="FootnoteReference"/>
          <w:lang w:val="en"/>
        </w:rPr>
        <w:footnoteReference w:id="8"/>
      </w:r>
      <w:r>
        <w:t xml:space="preserve">. </w:t>
      </w:r>
      <w:r w:rsidR="00EC0BEA" w:rsidRPr="00FA7E9B">
        <w:rPr>
          <w:lang w:val="en"/>
        </w:rPr>
        <w:t xml:space="preserve">The </w:t>
      </w:r>
      <w:r w:rsidR="00EC0BEA">
        <w:t>processing will also need to comply with the other data protection principles, including requirements for transparency and security</w:t>
      </w:r>
      <w:r w:rsidR="00EC0BEA">
        <w:rPr>
          <w:rStyle w:val="FootnoteReference"/>
        </w:rPr>
        <w:footnoteReference w:id="9"/>
      </w:r>
      <w:r w:rsidR="00EC0BEA">
        <w:t xml:space="preserve">. </w:t>
      </w:r>
      <w:r w:rsidR="009C2265">
        <w:t xml:space="preserve">As part of a data protection by default approach, </w:t>
      </w:r>
      <w:r w:rsidR="004B25E9">
        <w:t xml:space="preserve">Cabinet Office and HMRC </w:t>
      </w:r>
      <w:r w:rsidR="009C2265">
        <w:t xml:space="preserve">will </w:t>
      </w:r>
      <w:r w:rsidR="00EC0BEA">
        <w:t xml:space="preserve">therefore </w:t>
      </w:r>
      <w:r w:rsidR="009C2265">
        <w:t>need to ensure</w:t>
      </w:r>
      <w:r w:rsidR="005603A2">
        <w:t>, for example,</w:t>
      </w:r>
      <w:r w:rsidR="009C2265">
        <w:t xml:space="preserve"> that </w:t>
      </w:r>
      <w:r w:rsidR="00460F89">
        <w:t xml:space="preserve">in the context of the STW </w:t>
      </w:r>
      <w:r w:rsidR="009C2265">
        <w:t xml:space="preserve">it will only process the personal data that is necessary to achieve its specific purposes and that the personal data it collects and shares </w:t>
      </w:r>
      <w:r w:rsidR="00B973BF">
        <w:t>is</w:t>
      </w:r>
      <w:r w:rsidR="009C2265">
        <w:t xml:space="preserve"> adequate for those purposes. </w:t>
      </w:r>
      <w:r w:rsidR="00E4019B">
        <w:t>G</w:t>
      </w:r>
      <w:r w:rsidR="00D9608A">
        <w:t xml:space="preserve">iving consideration to such matters will assist in identifying areas of potential risk, or opportunities for pursuing more privacy-focused options.  </w:t>
      </w:r>
    </w:p>
    <w:p w14:paraId="73A42E25" w14:textId="77777777" w:rsidR="00CB4702" w:rsidRPr="00CB4702" w:rsidRDefault="00CB4702" w:rsidP="00CB4702">
      <w:pPr>
        <w:pStyle w:val="ListParagraph"/>
        <w:ind w:left="851"/>
        <w:rPr>
          <w:lang w:val="en"/>
        </w:rPr>
      </w:pPr>
    </w:p>
    <w:p w14:paraId="0F3870D5" w14:textId="54367B5F" w:rsidR="009C2265" w:rsidRDefault="004B25E9" w:rsidP="009C2265">
      <w:pPr>
        <w:pStyle w:val="ListParagraph"/>
        <w:numPr>
          <w:ilvl w:val="0"/>
          <w:numId w:val="18"/>
        </w:numPr>
        <w:ind w:left="851" w:hanging="567"/>
        <w:rPr>
          <w:lang w:val="en"/>
        </w:rPr>
      </w:pPr>
      <w:r w:rsidRPr="00A477E7">
        <w:rPr>
          <w:lang w:val="en"/>
        </w:rPr>
        <w:t>Cabinet Office and HMRC</w:t>
      </w:r>
      <w:r w:rsidR="00CB4702" w:rsidRPr="00A477E7">
        <w:rPr>
          <w:lang w:val="en"/>
        </w:rPr>
        <w:t xml:space="preserve"> will also need to scope out how these </w:t>
      </w:r>
      <w:r w:rsidR="005603A2" w:rsidRPr="00A477E7">
        <w:rPr>
          <w:lang w:val="en"/>
        </w:rPr>
        <w:t xml:space="preserve">data protection </w:t>
      </w:r>
      <w:r w:rsidR="00CB4702" w:rsidRPr="00A477E7">
        <w:rPr>
          <w:lang w:val="en"/>
        </w:rPr>
        <w:t xml:space="preserve">principles will apply in each instance of </w:t>
      </w:r>
      <w:r w:rsidR="00737DF0" w:rsidRPr="00A477E7">
        <w:rPr>
          <w:lang w:val="en"/>
        </w:rPr>
        <w:t xml:space="preserve">processing and data sharing in the design of the STW to ensure that </w:t>
      </w:r>
      <w:r w:rsidR="00E4019B" w:rsidRPr="00A477E7">
        <w:rPr>
          <w:lang w:val="en"/>
        </w:rPr>
        <w:t>they</w:t>
      </w:r>
      <w:r w:rsidR="00A43C63" w:rsidRPr="00A477E7">
        <w:rPr>
          <w:lang w:val="en"/>
        </w:rPr>
        <w:t xml:space="preserve"> </w:t>
      </w:r>
      <w:r w:rsidR="00737DF0" w:rsidRPr="00A477E7">
        <w:rPr>
          <w:lang w:val="en"/>
        </w:rPr>
        <w:t>build</w:t>
      </w:r>
      <w:r w:rsidR="00E4019B" w:rsidRPr="00A477E7">
        <w:rPr>
          <w:lang w:val="en"/>
        </w:rPr>
        <w:t xml:space="preserve"> </w:t>
      </w:r>
      <w:r w:rsidR="00737DF0" w:rsidRPr="00A477E7">
        <w:rPr>
          <w:lang w:val="en"/>
        </w:rPr>
        <w:t>in</w:t>
      </w:r>
      <w:r w:rsidR="00DA1CCD" w:rsidRPr="00A477E7">
        <w:rPr>
          <w:lang w:val="en"/>
        </w:rPr>
        <w:t xml:space="preserve"> the</w:t>
      </w:r>
      <w:r w:rsidR="00737DF0" w:rsidRPr="00A477E7">
        <w:rPr>
          <w:lang w:val="en"/>
        </w:rPr>
        <w:t xml:space="preserve"> necessary protections for personal data. </w:t>
      </w:r>
      <w:r w:rsidR="00B22655" w:rsidRPr="00A477E7">
        <w:rPr>
          <w:lang w:val="en"/>
        </w:rPr>
        <w:t>For example,</w:t>
      </w:r>
      <w:r w:rsidR="00A24BEB" w:rsidRPr="00A477E7">
        <w:rPr>
          <w:lang w:val="en"/>
        </w:rPr>
        <w:t xml:space="preserve"> </w:t>
      </w:r>
      <w:r w:rsidR="007F007E" w:rsidRPr="00A477E7">
        <w:rPr>
          <w:lang w:val="en"/>
        </w:rPr>
        <w:t xml:space="preserve">they </w:t>
      </w:r>
      <w:r w:rsidR="00A24BEB" w:rsidRPr="00A477E7">
        <w:rPr>
          <w:lang w:val="en"/>
        </w:rPr>
        <w:t xml:space="preserve">will need to </w:t>
      </w:r>
      <w:r w:rsidR="008E5FA5" w:rsidRPr="00A477E7">
        <w:rPr>
          <w:lang w:val="en"/>
        </w:rPr>
        <w:t>cross reference the</w:t>
      </w:r>
      <w:r w:rsidR="00431665" w:rsidRPr="00A477E7">
        <w:rPr>
          <w:lang w:val="en"/>
        </w:rPr>
        <w:t xml:space="preserve"> purposes for which </w:t>
      </w:r>
      <w:r w:rsidR="00962776" w:rsidRPr="00A477E7">
        <w:rPr>
          <w:lang w:val="en"/>
        </w:rPr>
        <w:t>each</w:t>
      </w:r>
      <w:r w:rsidR="00431665" w:rsidRPr="00A477E7">
        <w:rPr>
          <w:lang w:val="en"/>
        </w:rPr>
        <w:t xml:space="preserve"> gov</w:t>
      </w:r>
      <w:r w:rsidR="008E5FA5" w:rsidRPr="00A477E7">
        <w:rPr>
          <w:lang w:val="en"/>
        </w:rPr>
        <w:t xml:space="preserve">ernment department or public body </w:t>
      </w:r>
      <w:r w:rsidR="00431665" w:rsidRPr="00A477E7">
        <w:rPr>
          <w:lang w:val="en"/>
        </w:rPr>
        <w:t xml:space="preserve">will </w:t>
      </w:r>
      <w:r w:rsidR="00C0601B" w:rsidRPr="00A477E7">
        <w:rPr>
          <w:lang w:val="en"/>
        </w:rPr>
        <w:t xml:space="preserve">properly </w:t>
      </w:r>
      <w:r w:rsidR="00431665" w:rsidRPr="00A477E7">
        <w:rPr>
          <w:lang w:val="en"/>
        </w:rPr>
        <w:t>require data from the STW</w:t>
      </w:r>
      <w:r w:rsidR="00260B7D">
        <w:rPr>
          <w:lang w:val="en"/>
        </w:rPr>
        <w:t xml:space="preserve">. </w:t>
      </w:r>
      <w:r w:rsidR="00A477E7">
        <w:rPr>
          <w:lang w:val="en"/>
        </w:rPr>
        <w:t xml:space="preserve">In this situation, </w:t>
      </w:r>
      <w:r w:rsidR="00A477E7">
        <w:rPr>
          <w:lang w:val="en"/>
        </w:rPr>
        <w:lastRenderedPageBreak/>
        <w:t>depending on the purpose involved, it may be that some public bodies require more or less personal data</w:t>
      </w:r>
      <w:r w:rsidR="00375C57">
        <w:rPr>
          <w:lang w:val="en"/>
        </w:rPr>
        <w:t xml:space="preserve"> than others. P</w:t>
      </w:r>
      <w:r w:rsidR="00260B7D">
        <w:rPr>
          <w:lang w:val="en"/>
        </w:rPr>
        <w:t xml:space="preserve">rocesses should set out how HMRC will </w:t>
      </w:r>
      <w:r w:rsidR="00375C57" w:rsidRPr="00A477E7">
        <w:rPr>
          <w:lang w:val="en"/>
        </w:rPr>
        <w:t>ensure that the personal data traders have to provide in the STW does not exceed what is required</w:t>
      </w:r>
      <w:r w:rsidR="00375C57">
        <w:rPr>
          <w:lang w:val="en"/>
        </w:rPr>
        <w:t xml:space="preserve"> and that HMRC does not go on to share more than a public body actually requires. </w:t>
      </w:r>
    </w:p>
    <w:p w14:paraId="17628CB3" w14:textId="77777777" w:rsidR="00375C57" w:rsidRPr="00A477E7" w:rsidRDefault="00375C57" w:rsidP="00375C57">
      <w:pPr>
        <w:pStyle w:val="ListParagraph"/>
        <w:ind w:left="851"/>
        <w:rPr>
          <w:lang w:val="en"/>
        </w:rPr>
      </w:pPr>
    </w:p>
    <w:p w14:paraId="69BA510F" w14:textId="3FDBE2ED" w:rsidR="003702F1" w:rsidRPr="00153F25" w:rsidRDefault="00DA1CCD" w:rsidP="003702F1">
      <w:pPr>
        <w:pStyle w:val="ListParagraph"/>
        <w:numPr>
          <w:ilvl w:val="0"/>
          <w:numId w:val="18"/>
        </w:numPr>
        <w:ind w:left="851" w:hanging="567"/>
        <w:rPr>
          <w:lang w:val="en"/>
        </w:rPr>
      </w:pPr>
      <w:r>
        <w:rPr>
          <w:lang w:val="en"/>
        </w:rPr>
        <w:t>Specifically, t</w:t>
      </w:r>
      <w:r w:rsidR="003702F1" w:rsidRPr="00153F25">
        <w:rPr>
          <w:lang w:val="en"/>
        </w:rPr>
        <w:t>he consultation invites views on whether the STW should enable a voluntary approach to the provision of supply chain data.</w:t>
      </w:r>
      <w:r>
        <w:rPr>
          <w:lang w:val="en"/>
        </w:rPr>
        <w:t xml:space="preserve"> It is unclear whether this information will</w:t>
      </w:r>
      <w:r w:rsidR="003702F1" w:rsidRPr="00153F25">
        <w:rPr>
          <w:lang w:val="en"/>
        </w:rPr>
        <w:t>, in fact, include personal data</w:t>
      </w:r>
      <w:r w:rsidR="006432A4">
        <w:rPr>
          <w:lang w:val="en"/>
        </w:rPr>
        <w:t xml:space="preserve"> and </w:t>
      </w:r>
      <w:r w:rsidR="0059073D">
        <w:rPr>
          <w:lang w:val="en"/>
        </w:rPr>
        <w:t xml:space="preserve">Cabinet Office and HMRC </w:t>
      </w:r>
      <w:r w:rsidR="006432A4">
        <w:rPr>
          <w:lang w:val="en"/>
        </w:rPr>
        <w:t>will need to scope this out</w:t>
      </w:r>
      <w:r w:rsidR="003702F1" w:rsidRPr="00153F25">
        <w:rPr>
          <w:lang w:val="en"/>
        </w:rPr>
        <w:t xml:space="preserve">. Assuming </w:t>
      </w:r>
      <w:r>
        <w:rPr>
          <w:lang w:val="en"/>
        </w:rPr>
        <w:t xml:space="preserve">that </w:t>
      </w:r>
      <w:r w:rsidR="003702F1" w:rsidRPr="00153F25">
        <w:rPr>
          <w:lang w:val="en"/>
        </w:rPr>
        <w:t xml:space="preserve">this might be the case, </w:t>
      </w:r>
      <w:r w:rsidR="0059073D">
        <w:rPr>
          <w:lang w:val="en"/>
        </w:rPr>
        <w:t xml:space="preserve">they </w:t>
      </w:r>
      <w:r w:rsidR="003702F1" w:rsidRPr="00153F25">
        <w:rPr>
          <w:lang w:val="en"/>
        </w:rPr>
        <w:t xml:space="preserve">will </w:t>
      </w:r>
      <w:r w:rsidR="0059073D">
        <w:rPr>
          <w:lang w:val="en"/>
        </w:rPr>
        <w:t xml:space="preserve">also </w:t>
      </w:r>
      <w:r w:rsidR="003702F1" w:rsidRPr="00153F25">
        <w:rPr>
          <w:lang w:val="en"/>
        </w:rPr>
        <w:t>need to evaluate whether the processing of such personal data is necessary</w:t>
      </w:r>
      <w:r w:rsidR="00784EA9">
        <w:rPr>
          <w:lang w:val="en"/>
        </w:rPr>
        <w:t xml:space="preserve"> and proportionate</w:t>
      </w:r>
      <w:r w:rsidR="001A7EC3">
        <w:rPr>
          <w:lang w:val="en"/>
        </w:rPr>
        <w:t>. In particular,</w:t>
      </w:r>
      <w:r w:rsidR="0059073D">
        <w:rPr>
          <w:lang w:val="en"/>
        </w:rPr>
        <w:t xml:space="preserve"> they</w:t>
      </w:r>
      <w:r w:rsidR="001A7EC3">
        <w:rPr>
          <w:lang w:val="en"/>
        </w:rPr>
        <w:t xml:space="preserve"> will need to </w:t>
      </w:r>
      <w:r w:rsidR="00E93D09">
        <w:rPr>
          <w:lang w:val="en"/>
        </w:rPr>
        <w:t xml:space="preserve">consider if this personal data is necessary when it </w:t>
      </w:r>
      <w:r w:rsidR="005F2959">
        <w:rPr>
          <w:lang w:val="en"/>
        </w:rPr>
        <w:t xml:space="preserve">is not required </w:t>
      </w:r>
      <w:r w:rsidR="006D14B2">
        <w:rPr>
          <w:lang w:val="en"/>
        </w:rPr>
        <w:t xml:space="preserve">from </w:t>
      </w:r>
      <w:r w:rsidR="005F2959">
        <w:rPr>
          <w:lang w:val="en"/>
        </w:rPr>
        <w:t xml:space="preserve">all participants and is </w:t>
      </w:r>
      <w:r w:rsidR="003702F1" w:rsidRPr="00153F25">
        <w:rPr>
          <w:lang w:val="en"/>
        </w:rPr>
        <w:t xml:space="preserve">voluntary </w:t>
      </w:r>
      <w:r w:rsidR="005F2959">
        <w:rPr>
          <w:lang w:val="en"/>
        </w:rPr>
        <w:t xml:space="preserve">in </w:t>
      </w:r>
      <w:r w:rsidR="003702F1" w:rsidRPr="00153F25">
        <w:rPr>
          <w:lang w:val="en"/>
        </w:rPr>
        <w:t xml:space="preserve">nature.  </w:t>
      </w:r>
    </w:p>
    <w:p w14:paraId="2BC49833" w14:textId="77777777" w:rsidR="003702F1" w:rsidRDefault="003702F1" w:rsidP="003702F1">
      <w:pPr>
        <w:pStyle w:val="ListParagraph"/>
        <w:ind w:left="851" w:hanging="567"/>
      </w:pPr>
    </w:p>
    <w:p w14:paraId="48430DA2" w14:textId="2B1EECD0" w:rsidR="00043385" w:rsidRDefault="00AF01D3" w:rsidP="008221E4">
      <w:pPr>
        <w:pStyle w:val="ListParagraph"/>
        <w:ind w:left="851" w:hanging="567"/>
        <w:rPr>
          <w:i/>
          <w:iCs/>
        </w:rPr>
      </w:pPr>
      <w:r w:rsidRPr="000A414A">
        <w:rPr>
          <w:i/>
          <w:iCs/>
        </w:rPr>
        <w:t>Transparency</w:t>
      </w:r>
      <w:r w:rsidR="000A414A" w:rsidRPr="000A414A">
        <w:rPr>
          <w:i/>
          <w:iCs/>
        </w:rPr>
        <w:t xml:space="preserve"> </w:t>
      </w:r>
      <w:r w:rsidR="00F43086">
        <w:rPr>
          <w:i/>
          <w:iCs/>
        </w:rPr>
        <w:t>and fairness</w:t>
      </w:r>
    </w:p>
    <w:p w14:paraId="5C6FB676" w14:textId="77777777" w:rsidR="00F43086" w:rsidRPr="00043385" w:rsidRDefault="00F43086" w:rsidP="008221E4">
      <w:pPr>
        <w:pStyle w:val="ListParagraph"/>
        <w:ind w:left="851" w:hanging="567"/>
        <w:rPr>
          <w:lang w:val="en"/>
        </w:rPr>
      </w:pPr>
    </w:p>
    <w:p w14:paraId="24BC253C" w14:textId="09B5D89B" w:rsidR="00FF6223" w:rsidRDefault="00915ECE" w:rsidP="00153F25">
      <w:pPr>
        <w:pStyle w:val="ListParagraph"/>
        <w:numPr>
          <w:ilvl w:val="0"/>
          <w:numId w:val="18"/>
        </w:numPr>
        <w:ind w:left="851" w:hanging="567"/>
        <w:rPr>
          <w:lang w:val="en"/>
        </w:rPr>
      </w:pPr>
      <w:r>
        <w:rPr>
          <w:lang w:val="en"/>
        </w:rPr>
        <w:t xml:space="preserve">Making </w:t>
      </w:r>
      <w:r w:rsidR="00C34B88">
        <w:rPr>
          <w:lang w:val="en"/>
        </w:rPr>
        <w:t xml:space="preserve">clear </w:t>
      </w:r>
      <w:r w:rsidR="00ED3E17">
        <w:rPr>
          <w:lang w:val="en"/>
        </w:rPr>
        <w:t xml:space="preserve">at the outset </w:t>
      </w:r>
      <w:r w:rsidR="00EC72E7">
        <w:rPr>
          <w:lang w:val="en"/>
        </w:rPr>
        <w:t xml:space="preserve">why </w:t>
      </w:r>
      <w:r w:rsidR="0027734E">
        <w:rPr>
          <w:lang w:val="en"/>
        </w:rPr>
        <w:t xml:space="preserve">HMRC and other </w:t>
      </w:r>
      <w:proofErr w:type="spellStart"/>
      <w:r w:rsidR="0027734E">
        <w:rPr>
          <w:lang w:val="en"/>
        </w:rPr>
        <w:t>organisations</w:t>
      </w:r>
      <w:proofErr w:type="spellEnd"/>
      <w:r w:rsidR="0027734E">
        <w:rPr>
          <w:lang w:val="en"/>
        </w:rPr>
        <w:t xml:space="preserve"> </w:t>
      </w:r>
      <w:r w:rsidR="00ED3E17">
        <w:rPr>
          <w:lang w:val="en"/>
        </w:rPr>
        <w:t xml:space="preserve">will </w:t>
      </w:r>
      <w:r w:rsidR="00EC72E7">
        <w:rPr>
          <w:lang w:val="en"/>
        </w:rPr>
        <w:t xml:space="preserve">collect personal data and how and why </w:t>
      </w:r>
      <w:r w:rsidR="00ED3E17">
        <w:rPr>
          <w:lang w:val="en"/>
        </w:rPr>
        <w:t xml:space="preserve">they </w:t>
      </w:r>
      <w:r w:rsidR="0027734E">
        <w:rPr>
          <w:lang w:val="en"/>
        </w:rPr>
        <w:t>will share it</w:t>
      </w:r>
      <w:r w:rsidR="00ED3E17">
        <w:rPr>
          <w:lang w:val="en"/>
        </w:rPr>
        <w:t xml:space="preserve"> are, a</w:t>
      </w:r>
      <w:r w:rsidR="00985A80">
        <w:rPr>
          <w:lang w:val="en"/>
        </w:rPr>
        <w:t xml:space="preserve">s mentioned above, vital elements of a data protection by design and default approach. </w:t>
      </w:r>
      <w:r w:rsidR="002C1B0C">
        <w:rPr>
          <w:lang w:val="en"/>
        </w:rPr>
        <w:t xml:space="preserve">Being clear, open and honest about the processing is </w:t>
      </w:r>
      <w:r w:rsidR="003A135D">
        <w:rPr>
          <w:lang w:val="en"/>
        </w:rPr>
        <w:t xml:space="preserve">also </w:t>
      </w:r>
      <w:r w:rsidR="002C1B0C">
        <w:rPr>
          <w:lang w:val="en"/>
        </w:rPr>
        <w:t xml:space="preserve">likely to promote public trust and confidence. </w:t>
      </w:r>
      <w:r w:rsidR="00896116">
        <w:rPr>
          <w:lang w:val="en"/>
        </w:rPr>
        <w:t xml:space="preserve">Taking this approach will </w:t>
      </w:r>
      <w:r w:rsidR="004605B9">
        <w:rPr>
          <w:lang w:val="en"/>
        </w:rPr>
        <w:t xml:space="preserve">therefore </w:t>
      </w:r>
      <w:r>
        <w:rPr>
          <w:lang w:val="en"/>
        </w:rPr>
        <w:t xml:space="preserve">help </w:t>
      </w:r>
      <w:r w:rsidR="004F36FB">
        <w:rPr>
          <w:lang w:val="en"/>
        </w:rPr>
        <w:t xml:space="preserve">to </w:t>
      </w:r>
      <w:r>
        <w:rPr>
          <w:lang w:val="en"/>
        </w:rPr>
        <w:t>ensur</w:t>
      </w:r>
      <w:r w:rsidR="004F36FB">
        <w:rPr>
          <w:lang w:val="en"/>
        </w:rPr>
        <w:t>e</w:t>
      </w:r>
      <w:r>
        <w:rPr>
          <w:lang w:val="en"/>
        </w:rPr>
        <w:t xml:space="preserve"> that </w:t>
      </w:r>
      <w:r w:rsidR="00ED1DD4">
        <w:rPr>
          <w:lang w:val="en"/>
        </w:rPr>
        <w:t>the processing is fair and transparent</w:t>
      </w:r>
      <w:r w:rsidR="004605B9">
        <w:rPr>
          <w:lang w:val="en"/>
        </w:rPr>
        <w:t>. This approach also means th</w:t>
      </w:r>
      <w:r w:rsidR="004F36FB">
        <w:rPr>
          <w:lang w:val="en"/>
        </w:rPr>
        <w:t xml:space="preserve">at </w:t>
      </w:r>
      <w:r>
        <w:rPr>
          <w:lang w:val="en"/>
        </w:rPr>
        <w:t xml:space="preserve">data protection issues </w:t>
      </w:r>
      <w:r w:rsidR="004F36FB">
        <w:rPr>
          <w:lang w:val="en"/>
        </w:rPr>
        <w:t xml:space="preserve">can </w:t>
      </w:r>
      <w:r w:rsidR="00B9698A">
        <w:rPr>
          <w:lang w:val="en"/>
        </w:rPr>
        <w:t>be</w:t>
      </w:r>
      <w:r>
        <w:rPr>
          <w:lang w:val="en"/>
        </w:rPr>
        <w:t xml:space="preserve"> addressed </w:t>
      </w:r>
      <w:r w:rsidR="007B5E24">
        <w:rPr>
          <w:lang w:val="en"/>
        </w:rPr>
        <w:t>and factored into the</w:t>
      </w:r>
      <w:r w:rsidR="00B1096F">
        <w:rPr>
          <w:lang w:val="en"/>
        </w:rPr>
        <w:t xml:space="preserve"> STW</w:t>
      </w:r>
      <w:r w:rsidR="007B5E24">
        <w:rPr>
          <w:lang w:val="en"/>
        </w:rPr>
        <w:t xml:space="preserve"> design process at the earliest possible stage. </w:t>
      </w:r>
    </w:p>
    <w:p w14:paraId="7D4D8561" w14:textId="77777777" w:rsidR="00D533D2" w:rsidRDefault="00D533D2" w:rsidP="00153F25">
      <w:pPr>
        <w:pStyle w:val="ListParagraph"/>
        <w:ind w:left="851" w:hanging="567"/>
        <w:rPr>
          <w:lang w:val="en"/>
        </w:rPr>
      </w:pPr>
    </w:p>
    <w:p w14:paraId="3343FA34" w14:textId="0E44082E" w:rsidR="00144E0A" w:rsidRDefault="000C4075" w:rsidP="00153F25">
      <w:pPr>
        <w:pStyle w:val="ListParagraph"/>
        <w:numPr>
          <w:ilvl w:val="0"/>
          <w:numId w:val="18"/>
        </w:numPr>
        <w:ind w:left="851" w:hanging="567"/>
        <w:rPr>
          <w:lang w:val="en"/>
        </w:rPr>
      </w:pPr>
      <w:r>
        <w:rPr>
          <w:lang w:val="en"/>
        </w:rPr>
        <w:t>The journey of an individual’s personal data through the STW and then on to other public bodies may be complex</w:t>
      </w:r>
      <w:r w:rsidR="00F7323D">
        <w:rPr>
          <w:lang w:val="en"/>
        </w:rPr>
        <w:t>. This</w:t>
      </w:r>
      <w:r w:rsidR="0003447E">
        <w:rPr>
          <w:lang w:val="en"/>
        </w:rPr>
        <w:t xml:space="preserve"> might give rise to particular challenges a</w:t>
      </w:r>
      <w:r w:rsidR="00F7323D">
        <w:rPr>
          <w:lang w:val="en"/>
        </w:rPr>
        <w:t>round</w:t>
      </w:r>
      <w:r w:rsidR="0003447E">
        <w:rPr>
          <w:lang w:val="en"/>
        </w:rPr>
        <w:t xml:space="preserve"> the potential for ‘invisible processing’</w:t>
      </w:r>
      <w:r w:rsidR="00EE76E9">
        <w:rPr>
          <w:lang w:val="en"/>
        </w:rPr>
        <w:t xml:space="preserve"> particularly where </w:t>
      </w:r>
      <w:proofErr w:type="spellStart"/>
      <w:r w:rsidR="00EE76E9">
        <w:rPr>
          <w:lang w:val="en"/>
        </w:rPr>
        <w:t>organisations</w:t>
      </w:r>
      <w:proofErr w:type="spellEnd"/>
      <w:r w:rsidR="00511F6F">
        <w:rPr>
          <w:lang w:val="en"/>
        </w:rPr>
        <w:t xml:space="preserve"> do</w:t>
      </w:r>
      <w:r w:rsidR="00EE76E9">
        <w:rPr>
          <w:lang w:val="en"/>
        </w:rPr>
        <w:t xml:space="preserve"> </w:t>
      </w:r>
      <w:r w:rsidR="00511F6F">
        <w:rPr>
          <w:lang w:val="en"/>
        </w:rPr>
        <w:t xml:space="preserve">not </w:t>
      </w:r>
      <w:r w:rsidR="00EE76E9">
        <w:rPr>
          <w:lang w:val="en"/>
        </w:rPr>
        <w:t xml:space="preserve">collect the personal data </w:t>
      </w:r>
      <w:r w:rsidR="00511F6F">
        <w:rPr>
          <w:lang w:val="en"/>
        </w:rPr>
        <w:t>directly fro</w:t>
      </w:r>
      <w:r w:rsidR="004A6782">
        <w:rPr>
          <w:lang w:val="en"/>
        </w:rPr>
        <w:t>m</w:t>
      </w:r>
      <w:r w:rsidR="00511F6F">
        <w:rPr>
          <w:lang w:val="en"/>
        </w:rPr>
        <w:t xml:space="preserve"> the individual</w:t>
      </w:r>
      <w:r w:rsidR="00EE76E9">
        <w:rPr>
          <w:lang w:val="en"/>
        </w:rPr>
        <w:t xml:space="preserve">. </w:t>
      </w:r>
      <w:r w:rsidR="006D14B2">
        <w:rPr>
          <w:lang w:val="en"/>
        </w:rPr>
        <w:t xml:space="preserve">Cabinet Office and HMRC </w:t>
      </w:r>
      <w:r w:rsidR="00AD0E2E">
        <w:rPr>
          <w:lang w:val="en"/>
        </w:rPr>
        <w:t>w</w:t>
      </w:r>
      <w:r w:rsidR="00954945">
        <w:rPr>
          <w:lang w:val="en"/>
        </w:rPr>
        <w:t xml:space="preserve">ill need to consider how </w:t>
      </w:r>
      <w:r w:rsidR="00AD0E2E">
        <w:rPr>
          <w:lang w:val="en"/>
        </w:rPr>
        <w:t>they</w:t>
      </w:r>
      <w:r w:rsidR="00954945">
        <w:rPr>
          <w:lang w:val="en"/>
        </w:rPr>
        <w:t xml:space="preserve"> </w:t>
      </w:r>
      <w:r w:rsidR="005B41CA">
        <w:rPr>
          <w:lang w:val="en"/>
        </w:rPr>
        <w:t>can</w:t>
      </w:r>
      <w:r w:rsidR="00954945">
        <w:rPr>
          <w:lang w:val="en"/>
        </w:rPr>
        <w:t xml:space="preserve"> </w:t>
      </w:r>
      <w:r w:rsidR="003C5805">
        <w:rPr>
          <w:lang w:val="en"/>
        </w:rPr>
        <w:t xml:space="preserve">provide </w:t>
      </w:r>
      <w:r w:rsidR="005B41CA">
        <w:rPr>
          <w:lang w:val="en"/>
        </w:rPr>
        <w:t xml:space="preserve">meaningful </w:t>
      </w:r>
      <w:r w:rsidR="003C5805">
        <w:rPr>
          <w:lang w:val="en"/>
        </w:rPr>
        <w:t>privacy information to individuals</w:t>
      </w:r>
      <w:r w:rsidR="00D533D2">
        <w:rPr>
          <w:lang w:val="en"/>
        </w:rPr>
        <w:t xml:space="preserve"> </w:t>
      </w:r>
      <w:r w:rsidR="00954945">
        <w:rPr>
          <w:lang w:val="en"/>
        </w:rPr>
        <w:t xml:space="preserve">in ways that will </w:t>
      </w:r>
      <w:r w:rsidR="002C4EF0">
        <w:rPr>
          <w:lang w:val="en"/>
        </w:rPr>
        <w:t>be</w:t>
      </w:r>
      <w:r w:rsidR="00ED300A">
        <w:rPr>
          <w:lang w:val="en"/>
        </w:rPr>
        <w:t xml:space="preserve"> </w:t>
      </w:r>
      <w:r w:rsidR="002C4EF0">
        <w:rPr>
          <w:lang w:val="en"/>
        </w:rPr>
        <w:t xml:space="preserve">clear and </w:t>
      </w:r>
      <w:r w:rsidR="00ED300A">
        <w:rPr>
          <w:lang w:val="en"/>
        </w:rPr>
        <w:t>understandable</w:t>
      </w:r>
      <w:r w:rsidR="004506A1">
        <w:rPr>
          <w:lang w:val="en"/>
        </w:rPr>
        <w:t xml:space="preserve">. </w:t>
      </w:r>
    </w:p>
    <w:p w14:paraId="51E2614D" w14:textId="77777777" w:rsidR="00144E0A" w:rsidRPr="00144E0A" w:rsidRDefault="00144E0A" w:rsidP="00144E0A">
      <w:pPr>
        <w:pStyle w:val="ListParagraph"/>
        <w:rPr>
          <w:lang w:val="en"/>
        </w:rPr>
      </w:pPr>
    </w:p>
    <w:p w14:paraId="504DC6F8" w14:textId="2B797884" w:rsidR="003C5805" w:rsidRDefault="00F001FC" w:rsidP="00153F25">
      <w:pPr>
        <w:pStyle w:val="ListParagraph"/>
        <w:numPr>
          <w:ilvl w:val="0"/>
          <w:numId w:val="18"/>
        </w:numPr>
        <w:ind w:left="851" w:hanging="567"/>
        <w:rPr>
          <w:lang w:val="en"/>
        </w:rPr>
      </w:pPr>
      <w:r>
        <w:rPr>
          <w:lang w:val="en"/>
        </w:rPr>
        <w:t xml:space="preserve">In the same vein, </w:t>
      </w:r>
      <w:r w:rsidR="00AD0E2E">
        <w:rPr>
          <w:lang w:val="en"/>
        </w:rPr>
        <w:t xml:space="preserve">Cabinet Office and HMRC </w:t>
      </w:r>
      <w:r w:rsidR="001C61EF">
        <w:rPr>
          <w:lang w:val="en"/>
        </w:rPr>
        <w:t xml:space="preserve">will also need to provide </w:t>
      </w:r>
      <w:r w:rsidR="004506A1">
        <w:rPr>
          <w:lang w:val="en"/>
        </w:rPr>
        <w:t xml:space="preserve">clear frameworks </w:t>
      </w:r>
      <w:r w:rsidR="004A6782">
        <w:rPr>
          <w:lang w:val="en"/>
        </w:rPr>
        <w:t xml:space="preserve">as part of the STW </w:t>
      </w:r>
      <w:r w:rsidR="004506A1">
        <w:rPr>
          <w:lang w:val="en"/>
        </w:rPr>
        <w:t xml:space="preserve">so that the </w:t>
      </w:r>
      <w:proofErr w:type="spellStart"/>
      <w:r w:rsidR="004506A1">
        <w:rPr>
          <w:lang w:val="en"/>
        </w:rPr>
        <w:t>organisations</w:t>
      </w:r>
      <w:proofErr w:type="spellEnd"/>
      <w:r w:rsidR="004506A1">
        <w:rPr>
          <w:lang w:val="en"/>
        </w:rPr>
        <w:t xml:space="preserve"> involved can support individuals’ rights</w:t>
      </w:r>
      <w:r w:rsidR="00731DE2">
        <w:rPr>
          <w:lang w:val="en"/>
        </w:rPr>
        <w:t xml:space="preserve"> </w:t>
      </w:r>
      <w:r w:rsidR="004506A1">
        <w:rPr>
          <w:lang w:val="en"/>
        </w:rPr>
        <w:t xml:space="preserve">and individuals </w:t>
      </w:r>
      <w:r w:rsidR="00731DE2">
        <w:rPr>
          <w:lang w:val="en"/>
        </w:rPr>
        <w:t xml:space="preserve">will </w:t>
      </w:r>
      <w:r w:rsidR="004506A1">
        <w:rPr>
          <w:lang w:val="en"/>
        </w:rPr>
        <w:t xml:space="preserve">know how to exercise them. </w:t>
      </w:r>
      <w:r w:rsidR="006B7116">
        <w:rPr>
          <w:lang w:val="en"/>
        </w:rPr>
        <w:t xml:space="preserve"> </w:t>
      </w:r>
    </w:p>
    <w:p w14:paraId="2610F05A" w14:textId="77777777" w:rsidR="00D56BEA" w:rsidRPr="00D56BEA" w:rsidRDefault="00D56BEA" w:rsidP="00D56BEA">
      <w:pPr>
        <w:pStyle w:val="ListParagraph"/>
        <w:rPr>
          <w:lang w:val="en"/>
        </w:rPr>
      </w:pPr>
    </w:p>
    <w:p w14:paraId="6E113AFD" w14:textId="14C03006" w:rsidR="00D56BEA" w:rsidRPr="003C5805" w:rsidRDefault="00D56BEA" w:rsidP="00153F25">
      <w:pPr>
        <w:pStyle w:val="ListParagraph"/>
        <w:numPr>
          <w:ilvl w:val="0"/>
          <w:numId w:val="18"/>
        </w:numPr>
        <w:ind w:left="851" w:hanging="567"/>
        <w:rPr>
          <w:lang w:val="en"/>
        </w:rPr>
      </w:pPr>
      <w:r>
        <w:rPr>
          <w:lang w:val="en"/>
        </w:rPr>
        <w:t>All transparency measures will need regular review to ensure that they are fit for purpose as the policy develops.</w:t>
      </w:r>
    </w:p>
    <w:p w14:paraId="155B777B" w14:textId="77777777" w:rsidR="00BC5F47" w:rsidRDefault="00BC5F47" w:rsidP="00153F25">
      <w:pPr>
        <w:pStyle w:val="ListParagraph"/>
        <w:ind w:left="851" w:hanging="567"/>
        <w:rPr>
          <w:lang w:val="en"/>
        </w:rPr>
      </w:pPr>
    </w:p>
    <w:p w14:paraId="0727819F" w14:textId="39359CF2" w:rsidR="00B93999" w:rsidRDefault="00B93999" w:rsidP="00153F25">
      <w:pPr>
        <w:pStyle w:val="ListParagraph"/>
        <w:ind w:left="851" w:hanging="567"/>
        <w:rPr>
          <w:i/>
          <w:iCs/>
          <w:lang w:val="en"/>
        </w:rPr>
      </w:pPr>
      <w:r w:rsidRPr="00B93999">
        <w:rPr>
          <w:i/>
          <w:iCs/>
          <w:lang w:val="en"/>
        </w:rPr>
        <w:lastRenderedPageBreak/>
        <w:t>International transfers</w:t>
      </w:r>
    </w:p>
    <w:p w14:paraId="58D2D25E" w14:textId="77777777" w:rsidR="00F001FC" w:rsidRPr="00B93999" w:rsidRDefault="00F001FC" w:rsidP="00153F25">
      <w:pPr>
        <w:pStyle w:val="ListParagraph"/>
        <w:ind w:left="851" w:hanging="567"/>
        <w:rPr>
          <w:i/>
          <w:iCs/>
          <w:lang w:val="en"/>
        </w:rPr>
      </w:pPr>
    </w:p>
    <w:p w14:paraId="346DA1C0" w14:textId="7F73D408" w:rsidR="00835E03" w:rsidRDefault="00A404A8" w:rsidP="00153F25">
      <w:pPr>
        <w:pStyle w:val="ListParagraph"/>
        <w:numPr>
          <w:ilvl w:val="0"/>
          <w:numId w:val="18"/>
        </w:numPr>
        <w:ind w:left="851" w:hanging="567"/>
        <w:rPr>
          <w:lang w:val="en"/>
        </w:rPr>
      </w:pPr>
      <w:r>
        <w:rPr>
          <w:lang w:val="en"/>
        </w:rPr>
        <w:t xml:space="preserve">The consultation proposes that in due course, </w:t>
      </w:r>
      <w:r w:rsidR="008D7E7E">
        <w:rPr>
          <w:lang w:val="en"/>
        </w:rPr>
        <w:t xml:space="preserve">the STW </w:t>
      </w:r>
      <w:r w:rsidR="00731DE2">
        <w:rPr>
          <w:lang w:val="en"/>
        </w:rPr>
        <w:t xml:space="preserve">system can operate alongside </w:t>
      </w:r>
      <w:r w:rsidR="008D7E7E">
        <w:rPr>
          <w:lang w:val="en"/>
        </w:rPr>
        <w:t>similar systems in other countries and territories and</w:t>
      </w:r>
      <w:r w:rsidR="00E40D52">
        <w:rPr>
          <w:lang w:val="en"/>
        </w:rPr>
        <w:t xml:space="preserve"> that </w:t>
      </w:r>
      <w:r w:rsidR="00CE114A">
        <w:rPr>
          <w:lang w:val="en"/>
        </w:rPr>
        <w:t xml:space="preserve">government </w:t>
      </w:r>
      <w:r w:rsidR="00E40D52">
        <w:rPr>
          <w:lang w:val="en"/>
        </w:rPr>
        <w:t>will exchange data between th</w:t>
      </w:r>
      <w:r w:rsidR="003A091A">
        <w:rPr>
          <w:lang w:val="en"/>
        </w:rPr>
        <w:t>ose</w:t>
      </w:r>
      <w:r w:rsidR="00E40D52">
        <w:rPr>
          <w:lang w:val="en"/>
        </w:rPr>
        <w:t xml:space="preserve"> systems. </w:t>
      </w:r>
      <w:r w:rsidR="003A091A">
        <w:rPr>
          <w:lang w:val="en"/>
        </w:rPr>
        <w:t xml:space="preserve">Government will need to consider </w:t>
      </w:r>
      <w:r w:rsidR="003F3430">
        <w:rPr>
          <w:lang w:val="en"/>
        </w:rPr>
        <w:t>the</w:t>
      </w:r>
      <w:r w:rsidR="00A974B4">
        <w:rPr>
          <w:lang w:val="en"/>
        </w:rPr>
        <w:t xml:space="preserve"> </w:t>
      </w:r>
      <w:r w:rsidR="003A091A">
        <w:rPr>
          <w:lang w:val="en"/>
        </w:rPr>
        <w:t>legal gateways</w:t>
      </w:r>
      <w:r w:rsidR="00A974B4">
        <w:rPr>
          <w:lang w:val="en"/>
        </w:rPr>
        <w:t xml:space="preserve"> it </w:t>
      </w:r>
      <w:r w:rsidR="003F3430">
        <w:rPr>
          <w:lang w:val="en"/>
        </w:rPr>
        <w:t>will</w:t>
      </w:r>
      <w:r w:rsidR="00A974B4">
        <w:rPr>
          <w:lang w:val="en"/>
        </w:rPr>
        <w:t xml:space="preserve"> </w:t>
      </w:r>
      <w:r w:rsidR="002C689B">
        <w:rPr>
          <w:lang w:val="en"/>
        </w:rPr>
        <w:t>need</w:t>
      </w:r>
      <w:r w:rsidR="00272241">
        <w:rPr>
          <w:lang w:val="en"/>
        </w:rPr>
        <w:t xml:space="preserve"> to facilitate this, </w:t>
      </w:r>
      <w:r w:rsidR="009D3C08">
        <w:rPr>
          <w:lang w:val="en"/>
        </w:rPr>
        <w:t xml:space="preserve">as well as </w:t>
      </w:r>
      <w:r w:rsidR="00135888">
        <w:rPr>
          <w:lang w:val="en"/>
        </w:rPr>
        <w:t xml:space="preserve">satisfying itself of the </w:t>
      </w:r>
      <w:r w:rsidR="003A091A">
        <w:rPr>
          <w:lang w:val="en"/>
        </w:rPr>
        <w:t>necessity and proportionality of any such data sharing</w:t>
      </w:r>
      <w:r w:rsidR="003105E6">
        <w:rPr>
          <w:lang w:val="en"/>
        </w:rPr>
        <w:t xml:space="preserve"> in relation to any personal data that may be involved. </w:t>
      </w:r>
    </w:p>
    <w:p w14:paraId="5ECCCA09" w14:textId="77777777" w:rsidR="00835E03" w:rsidRDefault="00835E03" w:rsidP="00835E03">
      <w:pPr>
        <w:pStyle w:val="ListParagraph"/>
        <w:ind w:left="851"/>
        <w:rPr>
          <w:lang w:val="en"/>
        </w:rPr>
      </w:pPr>
    </w:p>
    <w:p w14:paraId="0163BBD2" w14:textId="52A825F6" w:rsidR="00B93999" w:rsidRPr="001801D7" w:rsidRDefault="00835E03" w:rsidP="00153F25">
      <w:pPr>
        <w:pStyle w:val="ListParagraph"/>
        <w:numPr>
          <w:ilvl w:val="0"/>
          <w:numId w:val="18"/>
        </w:numPr>
        <w:ind w:left="851" w:hanging="567"/>
        <w:rPr>
          <w:lang w:val="en"/>
        </w:rPr>
      </w:pPr>
      <w:r w:rsidRPr="001801D7">
        <w:rPr>
          <w:lang w:val="en"/>
        </w:rPr>
        <w:t xml:space="preserve">Government will be aware that UK GDPR restricts the transfer of personal data to countries outside the UK or to international </w:t>
      </w:r>
      <w:proofErr w:type="spellStart"/>
      <w:r w:rsidRPr="001801D7">
        <w:rPr>
          <w:lang w:val="en"/>
        </w:rPr>
        <w:t>organisations</w:t>
      </w:r>
      <w:proofErr w:type="spellEnd"/>
      <w:r w:rsidRPr="001801D7">
        <w:rPr>
          <w:lang w:val="en"/>
        </w:rPr>
        <w:t xml:space="preserve"> (restricted transfer), unless there are ‘adequacy regulations’, appropriate  safeguards, or the restricted transfer is covered by an exception under article 49 UK GDPR. Government will therefore need to consider how it can make compliant restricted transfers to other countries in relation to the STW.  </w:t>
      </w:r>
      <w:r w:rsidR="003105E6" w:rsidRPr="001801D7">
        <w:rPr>
          <w:lang w:val="en"/>
        </w:rPr>
        <w:t>It will also need to</w:t>
      </w:r>
      <w:r w:rsidR="004F7DD9" w:rsidRPr="001801D7">
        <w:rPr>
          <w:lang w:val="en"/>
        </w:rPr>
        <w:t xml:space="preserve"> ensure that individuals receive information about the existence of </w:t>
      </w:r>
      <w:r w:rsidR="004B4D6F" w:rsidRPr="001801D7">
        <w:rPr>
          <w:lang w:val="en"/>
        </w:rPr>
        <w:t>any proposed international transfers</w:t>
      </w:r>
      <w:r w:rsidR="006010E7" w:rsidRPr="001801D7">
        <w:rPr>
          <w:lang w:val="en"/>
        </w:rPr>
        <w:t xml:space="preserve"> so that they</w:t>
      </w:r>
      <w:r w:rsidR="00135888" w:rsidRPr="001801D7">
        <w:rPr>
          <w:lang w:val="en"/>
        </w:rPr>
        <w:t xml:space="preserve"> </w:t>
      </w:r>
      <w:r w:rsidR="006010E7" w:rsidRPr="001801D7">
        <w:rPr>
          <w:lang w:val="en"/>
        </w:rPr>
        <w:t xml:space="preserve">understand </w:t>
      </w:r>
      <w:r w:rsidR="001801D7">
        <w:rPr>
          <w:lang w:val="en"/>
        </w:rPr>
        <w:t xml:space="preserve">the circumstances in which </w:t>
      </w:r>
      <w:r w:rsidR="006010E7" w:rsidRPr="001801D7">
        <w:rPr>
          <w:lang w:val="en"/>
        </w:rPr>
        <w:t>government might share the</w:t>
      </w:r>
      <w:r w:rsidR="003E64EE" w:rsidRPr="001801D7">
        <w:rPr>
          <w:lang w:val="en"/>
        </w:rPr>
        <w:t>ir</w:t>
      </w:r>
      <w:r w:rsidR="006010E7" w:rsidRPr="001801D7">
        <w:rPr>
          <w:lang w:val="en"/>
        </w:rPr>
        <w:t xml:space="preserve"> personal data</w:t>
      </w:r>
      <w:r w:rsidR="00BC4053">
        <w:rPr>
          <w:lang w:val="en"/>
        </w:rPr>
        <w:t xml:space="preserve"> to other countries or territories</w:t>
      </w:r>
      <w:r w:rsidR="006010E7" w:rsidRPr="001801D7">
        <w:rPr>
          <w:lang w:val="en"/>
        </w:rPr>
        <w:t xml:space="preserve">. </w:t>
      </w:r>
    </w:p>
    <w:p w14:paraId="042E367E" w14:textId="77777777" w:rsidR="003105E6" w:rsidRDefault="003105E6" w:rsidP="00153F25">
      <w:pPr>
        <w:pStyle w:val="ListParagraph"/>
        <w:ind w:left="851" w:hanging="567"/>
        <w:rPr>
          <w:lang w:val="en"/>
        </w:rPr>
      </w:pPr>
    </w:p>
    <w:p w14:paraId="47F12906" w14:textId="0B86714B" w:rsidR="00C42110" w:rsidRDefault="00952AD2" w:rsidP="00153F25">
      <w:pPr>
        <w:pStyle w:val="ListParagraph"/>
        <w:ind w:left="851" w:hanging="567"/>
        <w:rPr>
          <w:lang w:val="en"/>
        </w:rPr>
      </w:pPr>
      <w:r>
        <w:rPr>
          <w:rFonts w:ascii="Georgia" w:hAnsi="Georgia" w:cs="Georgia"/>
          <w:color w:val="2F5496" w:themeColor="accent1" w:themeShade="BF"/>
          <w:sz w:val="28"/>
        </w:rPr>
        <w:t>Consultation</w:t>
      </w:r>
    </w:p>
    <w:p w14:paraId="7D09F5CE" w14:textId="0227CD63" w:rsidR="004E4B2A" w:rsidRDefault="004E4B2A" w:rsidP="00153F25">
      <w:pPr>
        <w:pStyle w:val="ListParagraph"/>
        <w:ind w:left="851" w:hanging="567"/>
        <w:rPr>
          <w:lang w:val="en"/>
        </w:rPr>
      </w:pPr>
    </w:p>
    <w:p w14:paraId="2AFD758A" w14:textId="21A9C9EB" w:rsidR="003A474B" w:rsidRDefault="006F34B5" w:rsidP="002B0428">
      <w:pPr>
        <w:pStyle w:val="ListParagraph"/>
        <w:numPr>
          <w:ilvl w:val="1"/>
          <w:numId w:val="28"/>
        </w:numPr>
        <w:ind w:left="851" w:hanging="567"/>
        <w:rPr>
          <w:lang w:val="en"/>
        </w:rPr>
      </w:pPr>
      <w:r>
        <w:rPr>
          <w:lang w:val="en"/>
        </w:rPr>
        <w:t>We</w:t>
      </w:r>
      <w:r w:rsidR="004E4B2A">
        <w:rPr>
          <w:lang w:val="en"/>
        </w:rPr>
        <w:t xml:space="preserve"> welcome</w:t>
      </w:r>
      <w:r w:rsidR="00952AD2">
        <w:rPr>
          <w:lang w:val="en"/>
        </w:rPr>
        <w:t xml:space="preserve"> </w:t>
      </w:r>
      <w:r w:rsidR="00F1394B">
        <w:rPr>
          <w:lang w:val="en"/>
        </w:rPr>
        <w:t xml:space="preserve">the </w:t>
      </w:r>
      <w:r w:rsidR="00952AD2">
        <w:rPr>
          <w:lang w:val="en"/>
        </w:rPr>
        <w:t>opportunit</w:t>
      </w:r>
      <w:r w:rsidR="00F1394B">
        <w:rPr>
          <w:lang w:val="en"/>
        </w:rPr>
        <w:t>y</w:t>
      </w:r>
      <w:r w:rsidR="00952AD2">
        <w:rPr>
          <w:lang w:val="en"/>
        </w:rPr>
        <w:t xml:space="preserve"> for</w:t>
      </w:r>
      <w:r w:rsidR="004E4B2A">
        <w:rPr>
          <w:lang w:val="en"/>
        </w:rPr>
        <w:t xml:space="preserve"> further engagement with Cabinet Office and HMRC on these proposals</w:t>
      </w:r>
      <w:r w:rsidR="00F339FE">
        <w:rPr>
          <w:lang w:val="en"/>
        </w:rPr>
        <w:t xml:space="preserve"> at an early stage </w:t>
      </w:r>
      <w:r w:rsidR="005C3367">
        <w:rPr>
          <w:lang w:val="en"/>
        </w:rPr>
        <w:t>as the</w:t>
      </w:r>
      <w:r w:rsidR="003F3430">
        <w:rPr>
          <w:lang w:val="en"/>
        </w:rPr>
        <w:t>y</w:t>
      </w:r>
      <w:r w:rsidR="005C3367">
        <w:rPr>
          <w:lang w:val="en"/>
        </w:rPr>
        <w:t xml:space="preserve"> develop. </w:t>
      </w:r>
      <w:r w:rsidR="00952AD2">
        <w:rPr>
          <w:lang w:val="en"/>
        </w:rPr>
        <w:t xml:space="preserve">In addition, </w:t>
      </w:r>
      <w:r w:rsidR="00F339FE">
        <w:rPr>
          <w:lang w:val="en"/>
        </w:rPr>
        <w:t xml:space="preserve">we look forward to receiving requests for </w:t>
      </w:r>
      <w:r>
        <w:rPr>
          <w:lang w:val="en"/>
        </w:rPr>
        <w:t xml:space="preserve">formal </w:t>
      </w:r>
      <w:r w:rsidR="003A474B">
        <w:rPr>
          <w:lang w:val="en"/>
        </w:rPr>
        <w:t xml:space="preserve">consultation under </w:t>
      </w:r>
      <w:r w:rsidR="00BE53F3">
        <w:rPr>
          <w:lang w:val="en"/>
        </w:rPr>
        <w:t>article 36(4) UK GDPR</w:t>
      </w:r>
      <w:r w:rsidR="003A474B">
        <w:rPr>
          <w:lang w:val="en"/>
        </w:rPr>
        <w:t xml:space="preserve"> in relation to </w:t>
      </w:r>
      <w:r w:rsidR="00BE53F3">
        <w:rPr>
          <w:lang w:val="en"/>
        </w:rPr>
        <w:t xml:space="preserve">any </w:t>
      </w:r>
      <w:r w:rsidR="00F339FE">
        <w:rPr>
          <w:lang w:val="en"/>
        </w:rPr>
        <w:t xml:space="preserve">proposed </w:t>
      </w:r>
      <w:r w:rsidR="00BE53F3">
        <w:rPr>
          <w:lang w:val="en"/>
        </w:rPr>
        <w:t xml:space="preserve">legislative </w:t>
      </w:r>
      <w:r w:rsidR="003A474B">
        <w:rPr>
          <w:lang w:val="en"/>
        </w:rPr>
        <w:t>m</w:t>
      </w:r>
      <w:r w:rsidR="00BE53F3">
        <w:rPr>
          <w:lang w:val="en"/>
        </w:rPr>
        <w:t>easures</w:t>
      </w:r>
      <w:r>
        <w:rPr>
          <w:lang w:val="en"/>
        </w:rPr>
        <w:t xml:space="preserve"> involving processing</w:t>
      </w:r>
      <w:r w:rsidR="00BB27D6">
        <w:rPr>
          <w:lang w:val="en"/>
        </w:rPr>
        <w:t>.</w:t>
      </w:r>
      <w:r w:rsidR="003A474B">
        <w:rPr>
          <w:lang w:val="en"/>
        </w:rPr>
        <w:t xml:space="preserve"> </w:t>
      </w:r>
    </w:p>
    <w:p w14:paraId="15041BAA" w14:textId="4437C7EC" w:rsidR="00BE53F3" w:rsidRPr="00C42110" w:rsidRDefault="00BE53F3" w:rsidP="003A474B">
      <w:pPr>
        <w:pStyle w:val="ListParagraph"/>
        <w:rPr>
          <w:lang w:val="en"/>
        </w:rPr>
      </w:pPr>
      <w:r>
        <w:rPr>
          <w:lang w:val="en"/>
        </w:rPr>
        <w:t xml:space="preserve"> </w:t>
      </w:r>
    </w:p>
    <w:p w14:paraId="27822C7B" w14:textId="0C08BF57" w:rsidR="00C42110" w:rsidRPr="00092A06" w:rsidRDefault="00C42110" w:rsidP="00FE02A2">
      <w:pPr>
        <w:pStyle w:val="ListParagraph"/>
        <w:ind w:left="851"/>
        <w:rPr>
          <w:lang w:val="en"/>
        </w:rPr>
      </w:pPr>
    </w:p>
    <w:sectPr w:rsidR="00C42110" w:rsidRPr="00092A06" w:rsidSect="00F55C28">
      <w:headerReference w:type="default" r:id="rId8"/>
      <w:footerReference w:type="default" r:id="rId9"/>
      <w:headerReference w:type="first" r:id="rId10"/>
      <w:footerReference w:type="first" r:id="rId11"/>
      <w:pgSz w:w="11900" w:h="16840"/>
      <w:pgMar w:top="2892" w:right="851" w:bottom="1985" w:left="1134"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925A" w14:textId="77777777" w:rsidR="00A249FA" w:rsidRDefault="00A249FA" w:rsidP="008310B3">
      <w:r>
        <w:separator/>
      </w:r>
    </w:p>
  </w:endnote>
  <w:endnote w:type="continuationSeparator" w:id="0">
    <w:p w14:paraId="12179EE4" w14:textId="77777777" w:rsidR="00A249FA" w:rsidRDefault="00A249FA" w:rsidP="0083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95332"/>
      <w:docPartObj>
        <w:docPartGallery w:val="Page Numbers (Bottom of Page)"/>
        <w:docPartUnique/>
      </w:docPartObj>
    </w:sdtPr>
    <w:sdtEndPr>
      <w:rPr>
        <w:noProof/>
      </w:rPr>
    </w:sdtEndPr>
    <w:sdtContent>
      <w:p w14:paraId="3F062A69" w14:textId="0338DA5B" w:rsidR="00467C8C" w:rsidRDefault="00467C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D7394" w14:textId="77777777" w:rsidR="00F77964" w:rsidRDefault="00A24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5628" w14:textId="79BBE964" w:rsidR="00F77964" w:rsidRDefault="007C04FA" w:rsidP="007C04FA">
    <w:pPr>
      <w:pStyle w:val="Footer"/>
    </w:pPr>
    <w:r>
      <w:t>V1.0 20220913  FINAL                                                                                           1</w:t>
    </w:r>
  </w:p>
  <w:p w14:paraId="6F61DEE1" w14:textId="77777777" w:rsidR="007C04FA" w:rsidRPr="007C04FA" w:rsidRDefault="007C04FA" w:rsidP="007C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8225" w14:textId="77777777" w:rsidR="00A249FA" w:rsidRDefault="00A249FA" w:rsidP="008310B3">
      <w:r>
        <w:separator/>
      </w:r>
    </w:p>
  </w:footnote>
  <w:footnote w:type="continuationSeparator" w:id="0">
    <w:p w14:paraId="555DF83B" w14:textId="77777777" w:rsidR="00A249FA" w:rsidRDefault="00A249FA" w:rsidP="008310B3">
      <w:r>
        <w:continuationSeparator/>
      </w:r>
    </w:p>
  </w:footnote>
  <w:footnote w:id="1">
    <w:p w14:paraId="6EDF3EDA" w14:textId="77777777" w:rsidR="00C7343E" w:rsidRPr="003A267B" w:rsidRDefault="00C7343E" w:rsidP="00C7343E">
      <w:pPr>
        <w:pStyle w:val="FootnoteText"/>
        <w:rPr>
          <w:rFonts w:ascii="Verdana" w:hAnsi="Verdana"/>
        </w:rPr>
      </w:pPr>
      <w:r>
        <w:rPr>
          <w:rStyle w:val="FootnoteReference"/>
        </w:rPr>
        <w:footnoteRef/>
      </w:r>
      <w:r w:rsidRPr="00901B2D">
        <w:t xml:space="preserve"> </w:t>
      </w:r>
      <w:r>
        <w:t>Article 25 UK GDPR</w:t>
      </w:r>
    </w:p>
  </w:footnote>
  <w:footnote w:id="2">
    <w:p w14:paraId="247BD5C4" w14:textId="77777777" w:rsidR="0059047D" w:rsidRDefault="0059047D" w:rsidP="0059047D">
      <w:pPr>
        <w:pStyle w:val="FootnoteText"/>
      </w:pPr>
      <w:r>
        <w:rPr>
          <w:rStyle w:val="FootnoteReference"/>
        </w:rPr>
        <w:footnoteRef/>
      </w:r>
      <w:r>
        <w:t xml:space="preserve"> </w:t>
      </w:r>
      <w:hyperlink r:id="rId1" w:history="1">
        <w:r>
          <w:rPr>
            <w:rStyle w:val="Hyperlink"/>
          </w:rPr>
          <w:t>Data protection impact assessments | ICO</w:t>
        </w:r>
      </w:hyperlink>
    </w:p>
  </w:footnote>
  <w:footnote w:id="3">
    <w:p w14:paraId="1530948F" w14:textId="77777777" w:rsidR="00C572A8" w:rsidRPr="00C572A8" w:rsidRDefault="00C572A8" w:rsidP="00C572A8">
      <w:pPr>
        <w:pStyle w:val="FootnoteText"/>
      </w:pPr>
      <w:r>
        <w:rPr>
          <w:rStyle w:val="FootnoteReference"/>
        </w:rPr>
        <w:footnoteRef/>
      </w:r>
      <w:r w:rsidRPr="00C572A8">
        <w:t xml:space="preserve"> </w:t>
      </w:r>
      <w:hyperlink r:id="rId2" w:history="1">
        <w:r w:rsidRPr="00C572A8">
          <w:rPr>
            <w:rStyle w:val="Hyperlink"/>
          </w:rPr>
          <w:t>Data sharing information hub | ICO</w:t>
        </w:r>
      </w:hyperlink>
    </w:p>
  </w:footnote>
  <w:footnote w:id="4">
    <w:p w14:paraId="03BFFE4E" w14:textId="77777777" w:rsidR="00C572A8" w:rsidRPr="00C572A8" w:rsidRDefault="00C572A8" w:rsidP="00C572A8">
      <w:pPr>
        <w:pStyle w:val="FootnoteText"/>
      </w:pPr>
      <w:r>
        <w:rPr>
          <w:rStyle w:val="FootnoteReference"/>
        </w:rPr>
        <w:footnoteRef/>
      </w:r>
      <w:r w:rsidRPr="00C572A8">
        <w:t xml:space="preserve"> </w:t>
      </w:r>
      <w:hyperlink r:id="rId3" w:history="1">
        <w:r w:rsidRPr="00C572A8">
          <w:rPr>
            <w:rStyle w:val="Hyperlink"/>
          </w:rPr>
          <w:t>ICO call for views: Anonymisation, pseudonymisation and privacy enhancing technologies guidance | ICO</w:t>
        </w:r>
      </w:hyperlink>
    </w:p>
  </w:footnote>
  <w:footnote w:id="5">
    <w:p w14:paraId="5F4987D2" w14:textId="2A55C4DB" w:rsidR="004029DA" w:rsidRPr="000C0E5E" w:rsidRDefault="004029DA">
      <w:pPr>
        <w:pStyle w:val="FootnoteText"/>
        <w:rPr>
          <w:lang w:val="fr-FR"/>
        </w:rPr>
      </w:pPr>
      <w:r>
        <w:rPr>
          <w:rStyle w:val="FootnoteReference"/>
        </w:rPr>
        <w:footnoteRef/>
      </w:r>
      <w:r w:rsidRPr="000C0E5E">
        <w:rPr>
          <w:lang w:val="fr-FR"/>
        </w:rPr>
        <w:t xml:space="preserve"> Article 6 UK GDPR</w:t>
      </w:r>
    </w:p>
  </w:footnote>
  <w:footnote w:id="6">
    <w:p w14:paraId="1C9D50DB" w14:textId="77777777" w:rsidR="00AC3E70" w:rsidRPr="00D62FCF" w:rsidRDefault="00AC3E70" w:rsidP="00AC3E70">
      <w:pPr>
        <w:pStyle w:val="FootnoteText"/>
        <w:rPr>
          <w:lang w:val="fr-FR"/>
        </w:rPr>
      </w:pPr>
      <w:r>
        <w:rPr>
          <w:rStyle w:val="FootnoteReference"/>
        </w:rPr>
        <w:footnoteRef/>
      </w:r>
      <w:r w:rsidRPr="00D62FCF">
        <w:rPr>
          <w:lang w:val="fr-FR"/>
        </w:rPr>
        <w:t xml:space="preserve"> </w:t>
      </w:r>
      <w:hyperlink r:id="rId4" w:history="1">
        <w:proofErr w:type="spellStart"/>
        <w:r w:rsidRPr="00D62FCF">
          <w:rPr>
            <w:rStyle w:val="Hyperlink"/>
            <w:lang w:val="fr-FR"/>
          </w:rPr>
          <w:t>Principle</w:t>
        </w:r>
        <w:proofErr w:type="spellEnd"/>
        <w:r w:rsidRPr="00D62FCF">
          <w:rPr>
            <w:rStyle w:val="Hyperlink"/>
            <w:lang w:val="fr-FR"/>
          </w:rPr>
          <w:t xml:space="preserve"> (b): </w:t>
        </w:r>
        <w:proofErr w:type="spellStart"/>
        <w:r w:rsidRPr="00D62FCF">
          <w:rPr>
            <w:rStyle w:val="Hyperlink"/>
            <w:lang w:val="fr-FR"/>
          </w:rPr>
          <w:t>Purpose</w:t>
        </w:r>
        <w:proofErr w:type="spellEnd"/>
        <w:r w:rsidRPr="00D62FCF">
          <w:rPr>
            <w:rStyle w:val="Hyperlink"/>
            <w:lang w:val="fr-FR"/>
          </w:rPr>
          <w:t xml:space="preserve"> limitation | ICO</w:t>
        </w:r>
      </w:hyperlink>
    </w:p>
  </w:footnote>
  <w:footnote w:id="7">
    <w:p w14:paraId="5A3397F5" w14:textId="77777777" w:rsidR="00AC3E70" w:rsidRPr="00521F94" w:rsidRDefault="00AC3E70" w:rsidP="00AC3E70">
      <w:pPr>
        <w:pStyle w:val="FootnoteText"/>
        <w:rPr>
          <w:lang w:val="it-IT"/>
        </w:rPr>
      </w:pPr>
      <w:r>
        <w:rPr>
          <w:rStyle w:val="FootnoteReference"/>
        </w:rPr>
        <w:footnoteRef/>
      </w:r>
      <w:r w:rsidRPr="00521F94">
        <w:rPr>
          <w:lang w:val="it-IT"/>
        </w:rPr>
        <w:t xml:space="preserve"> </w:t>
      </w:r>
      <w:hyperlink r:id="rId5" w:history="1">
        <w:proofErr w:type="spellStart"/>
        <w:r w:rsidRPr="00521F94">
          <w:rPr>
            <w:rStyle w:val="Hyperlink"/>
            <w:lang w:val="it-IT"/>
          </w:rPr>
          <w:t>Principle</w:t>
        </w:r>
        <w:proofErr w:type="spellEnd"/>
        <w:r w:rsidRPr="00521F94">
          <w:rPr>
            <w:rStyle w:val="Hyperlink"/>
            <w:lang w:val="it-IT"/>
          </w:rPr>
          <w:t xml:space="preserve"> (c): Data </w:t>
        </w:r>
        <w:proofErr w:type="spellStart"/>
        <w:r w:rsidRPr="00521F94">
          <w:rPr>
            <w:rStyle w:val="Hyperlink"/>
            <w:lang w:val="it-IT"/>
          </w:rPr>
          <w:t>minimisation</w:t>
        </w:r>
        <w:proofErr w:type="spellEnd"/>
        <w:r w:rsidRPr="00521F94">
          <w:rPr>
            <w:rStyle w:val="Hyperlink"/>
            <w:lang w:val="it-IT"/>
          </w:rPr>
          <w:t xml:space="preserve"> | ICO</w:t>
        </w:r>
      </w:hyperlink>
    </w:p>
  </w:footnote>
  <w:footnote w:id="8">
    <w:p w14:paraId="085966E7" w14:textId="77777777" w:rsidR="00AC3E70" w:rsidRPr="00521F94" w:rsidRDefault="00AC3E70" w:rsidP="00AC3E70">
      <w:pPr>
        <w:pStyle w:val="FootnoteText"/>
        <w:rPr>
          <w:lang w:val="it-IT"/>
        </w:rPr>
      </w:pPr>
      <w:r>
        <w:rPr>
          <w:rStyle w:val="FootnoteReference"/>
        </w:rPr>
        <w:footnoteRef/>
      </w:r>
      <w:r w:rsidRPr="00521F94">
        <w:rPr>
          <w:lang w:val="it-IT"/>
        </w:rPr>
        <w:t xml:space="preserve"> </w:t>
      </w:r>
      <w:hyperlink r:id="rId6" w:history="1">
        <w:proofErr w:type="spellStart"/>
        <w:r w:rsidRPr="00521F94">
          <w:rPr>
            <w:rStyle w:val="Hyperlink"/>
            <w:lang w:val="it-IT"/>
          </w:rPr>
          <w:t>Principle</w:t>
        </w:r>
        <w:proofErr w:type="spellEnd"/>
        <w:r w:rsidRPr="00521F94">
          <w:rPr>
            <w:rStyle w:val="Hyperlink"/>
            <w:lang w:val="it-IT"/>
          </w:rPr>
          <w:t xml:space="preserve"> (d): </w:t>
        </w:r>
        <w:proofErr w:type="spellStart"/>
        <w:r w:rsidRPr="00521F94">
          <w:rPr>
            <w:rStyle w:val="Hyperlink"/>
            <w:lang w:val="it-IT"/>
          </w:rPr>
          <w:t>Accuracy</w:t>
        </w:r>
        <w:proofErr w:type="spellEnd"/>
        <w:r w:rsidRPr="00521F94">
          <w:rPr>
            <w:rStyle w:val="Hyperlink"/>
            <w:lang w:val="it-IT"/>
          </w:rPr>
          <w:t xml:space="preserve"> | ICO</w:t>
        </w:r>
      </w:hyperlink>
    </w:p>
  </w:footnote>
  <w:footnote w:id="9">
    <w:p w14:paraId="0A17D56E" w14:textId="77777777" w:rsidR="00EC0BEA" w:rsidRPr="00AC3E70" w:rsidRDefault="00EC0BEA" w:rsidP="00EC0BEA">
      <w:pPr>
        <w:pStyle w:val="FootnoteText"/>
        <w:rPr>
          <w:lang w:val="fr-FR"/>
        </w:rPr>
      </w:pPr>
      <w:r>
        <w:rPr>
          <w:rStyle w:val="FootnoteReference"/>
        </w:rPr>
        <w:footnoteRef/>
      </w:r>
      <w:r w:rsidRPr="00AC3E70">
        <w:rPr>
          <w:lang w:val="fr-FR"/>
        </w:rPr>
        <w:t xml:space="preserve"> </w:t>
      </w:r>
      <w:hyperlink r:id="rId7" w:history="1">
        <w:r w:rsidRPr="00AC3E70">
          <w:rPr>
            <w:rStyle w:val="Hyperlink"/>
            <w:lang w:val="fr-FR"/>
          </w:rPr>
          <w:t>Security | ICO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6983" w14:textId="77777777" w:rsidR="00F77964" w:rsidRDefault="00146679" w:rsidP="00ED5C64">
    <w:pPr>
      <w:pStyle w:val="Header"/>
      <w:ind w:right="-1762"/>
      <w:jc w:val="both"/>
    </w:pPr>
    <w:r>
      <w:rPr>
        <w:noProof/>
        <w:szCs w:val="20"/>
        <w:lang w:eastAsia="en-GB"/>
      </w:rPr>
      <w:drawing>
        <wp:anchor distT="0" distB="0" distL="0" distR="0" simplePos="0" relativeHeight="251659264" behindDoc="0" locked="0" layoutInCell="1" allowOverlap="1" wp14:anchorId="36329C55" wp14:editId="4EA44C02">
          <wp:simplePos x="0" y="0"/>
          <wp:positionH relativeFrom="page">
            <wp:posOffset>0</wp:posOffset>
          </wp:positionH>
          <wp:positionV relativeFrom="page">
            <wp:posOffset>0</wp:posOffset>
          </wp:positionV>
          <wp:extent cx="7579360" cy="1838960"/>
          <wp:effectExtent l="0" t="0" r="0" b="0"/>
          <wp:wrapThrough wrapText="bothSides">
            <wp:wrapPolygon edited="0">
              <wp:start x="1466" y="3580"/>
              <wp:lineTo x="1140" y="5594"/>
              <wp:lineTo x="1086" y="14544"/>
              <wp:lineTo x="5429" y="14544"/>
              <wp:lineTo x="5483" y="11188"/>
              <wp:lineTo x="4777" y="7608"/>
              <wp:lineTo x="4832" y="6713"/>
              <wp:lineTo x="3963" y="5818"/>
              <wp:lineTo x="1683" y="3580"/>
              <wp:lineTo x="1466" y="3580"/>
            </wp:wrapPolygon>
          </wp:wrapThrough>
          <wp:docPr id="3" name="Picture 3" descr="ico_continuation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_continuation_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8389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8AE8" w14:textId="77777777" w:rsidR="00F77964" w:rsidRDefault="00146679" w:rsidP="00ED5C64">
    <w:pPr>
      <w:pStyle w:val="Header"/>
    </w:pPr>
    <w:r>
      <w:rPr>
        <w:noProof/>
        <w:lang w:eastAsia="en-GB"/>
      </w:rPr>
      <w:drawing>
        <wp:anchor distT="0" distB="0" distL="114300" distR="114300" simplePos="0" relativeHeight="251660288" behindDoc="0" locked="0" layoutInCell="1" allowOverlap="1" wp14:anchorId="1004CE7C" wp14:editId="237211C9">
          <wp:simplePos x="0" y="0"/>
          <wp:positionH relativeFrom="column">
            <wp:posOffset>-293370</wp:posOffset>
          </wp:positionH>
          <wp:positionV relativeFrom="paragraph">
            <wp:posOffset>342900</wp:posOffset>
          </wp:positionV>
          <wp:extent cx="6357620" cy="892810"/>
          <wp:effectExtent l="0" t="0" r="5080" b="2540"/>
          <wp:wrapNone/>
          <wp:docPr id="4" name="Picture 4" descr="head_office_header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office_header c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620" cy="892810"/>
                  </a:xfrm>
                  <a:prstGeom prst="rect">
                    <a:avLst/>
                  </a:prstGeom>
                  <a:noFill/>
                </pic:spPr>
              </pic:pic>
            </a:graphicData>
          </a:graphic>
          <wp14:sizeRelH relativeFrom="page">
            <wp14:pctWidth>0</wp14:pctWidth>
          </wp14:sizeRelH>
          <wp14:sizeRelV relativeFrom="page">
            <wp14:pctHeight>0</wp14:pctHeight>
          </wp14:sizeRelV>
        </wp:anchor>
      </w:drawing>
    </w:r>
  </w:p>
  <w:p w14:paraId="7718A930" w14:textId="77777777" w:rsidR="00F77964" w:rsidRDefault="00A24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448"/>
    <w:multiLevelType w:val="hybridMultilevel"/>
    <w:tmpl w:val="3D8A28CE"/>
    <w:lvl w:ilvl="0" w:tplc="FFFFFFFF">
      <w:start w:val="1"/>
      <w:numFmt w:val="decimal"/>
      <w:lvlText w:val="%1."/>
      <w:lvlJc w:val="left"/>
      <w:pPr>
        <w:ind w:left="2918" w:hanging="360"/>
      </w:pPr>
      <w:rPr>
        <w:rFonts w:hint="default"/>
        <w:i w:val="0"/>
        <w:iCs w:val="0"/>
      </w:rPr>
    </w:lvl>
    <w:lvl w:ilvl="1" w:tplc="9B245FDC">
      <w:start w:val="24"/>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CE6B32"/>
    <w:multiLevelType w:val="hybridMultilevel"/>
    <w:tmpl w:val="9A72816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6E25E7"/>
    <w:multiLevelType w:val="hybridMultilevel"/>
    <w:tmpl w:val="857C74E6"/>
    <w:lvl w:ilvl="0" w:tplc="E6026870">
      <w:start w:val="1"/>
      <w:numFmt w:val="decimal"/>
      <w:lvlText w:val="%1."/>
      <w:lvlJc w:val="left"/>
      <w:pPr>
        <w:ind w:left="2482" w:hanging="360"/>
      </w:pPr>
      <w:rPr>
        <w:rFonts w:hint="default"/>
        <w:i w:val="0"/>
        <w:iCs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01114CA"/>
    <w:multiLevelType w:val="hybridMultilevel"/>
    <w:tmpl w:val="01B0170E"/>
    <w:lvl w:ilvl="0" w:tplc="FFFFFFFF">
      <w:start w:val="1"/>
      <w:numFmt w:val="decimal"/>
      <w:lvlText w:val="%1."/>
      <w:lvlJc w:val="left"/>
      <w:pPr>
        <w:ind w:left="720" w:hanging="360"/>
      </w:pPr>
      <w:rPr>
        <w:rFonts w:hint="default"/>
        <w:i w:val="0"/>
        <w:iCs w:val="0"/>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E43BD"/>
    <w:multiLevelType w:val="hybridMultilevel"/>
    <w:tmpl w:val="FAA087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1C6832"/>
    <w:multiLevelType w:val="hybridMultilevel"/>
    <w:tmpl w:val="48600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A3119"/>
    <w:multiLevelType w:val="hybridMultilevel"/>
    <w:tmpl w:val="A82C129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E5092E"/>
    <w:multiLevelType w:val="hybridMultilevel"/>
    <w:tmpl w:val="73A4BC76"/>
    <w:lvl w:ilvl="0" w:tplc="4CCED26E">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83E47"/>
    <w:multiLevelType w:val="hybridMultilevel"/>
    <w:tmpl w:val="E5E64086"/>
    <w:lvl w:ilvl="0" w:tplc="080E798E">
      <w:start w:val="2"/>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715669"/>
    <w:multiLevelType w:val="hybridMultilevel"/>
    <w:tmpl w:val="6DEA374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2E2F0904"/>
    <w:multiLevelType w:val="hybridMultilevel"/>
    <w:tmpl w:val="5C20B332"/>
    <w:lvl w:ilvl="0" w:tplc="32622D14">
      <w:start w:val="1"/>
      <w:numFmt w:val="decimal"/>
      <w:lvlText w:val="%1."/>
      <w:lvlJc w:val="left"/>
      <w:pPr>
        <w:ind w:left="2340" w:hanging="360"/>
      </w:pPr>
      <w:rPr>
        <w:rFonts w:hint="default"/>
        <w:i w:val="0"/>
        <w:iCs w:val="0"/>
        <w:lang w:val="e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A16ED"/>
    <w:multiLevelType w:val="hybridMultilevel"/>
    <w:tmpl w:val="0088E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E0B18"/>
    <w:multiLevelType w:val="hybridMultilevel"/>
    <w:tmpl w:val="901AB9D8"/>
    <w:lvl w:ilvl="0" w:tplc="D6F04ACE">
      <w:start w:val="45"/>
      <w:numFmt w:val="decimal"/>
      <w:lvlText w:val="%1."/>
      <w:lvlJc w:val="left"/>
      <w:pPr>
        <w:ind w:left="234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F7CA1"/>
    <w:multiLevelType w:val="hybridMultilevel"/>
    <w:tmpl w:val="DAF8DA70"/>
    <w:lvl w:ilvl="0" w:tplc="D6F04ACE">
      <w:start w:val="45"/>
      <w:numFmt w:val="decimal"/>
      <w:lvlText w:val="%1."/>
      <w:lvlJc w:val="left"/>
      <w:pPr>
        <w:ind w:left="234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675E7"/>
    <w:multiLevelType w:val="hybridMultilevel"/>
    <w:tmpl w:val="E82ED45E"/>
    <w:lvl w:ilvl="0" w:tplc="E38C088A">
      <w:start w:val="3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E114C25"/>
    <w:multiLevelType w:val="hybridMultilevel"/>
    <w:tmpl w:val="FDBE1FC8"/>
    <w:lvl w:ilvl="0" w:tplc="FFFFFFFF">
      <w:start w:val="1"/>
      <w:numFmt w:val="decimal"/>
      <w:lvlText w:val="%1."/>
      <w:lvlJc w:val="left"/>
      <w:pPr>
        <w:ind w:left="2198"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80E30"/>
    <w:multiLevelType w:val="hybridMultilevel"/>
    <w:tmpl w:val="0DB0917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F433FF6"/>
    <w:multiLevelType w:val="hybridMultilevel"/>
    <w:tmpl w:val="7302994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8" w15:restartNumberingAfterBreak="0">
    <w:nsid w:val="40390E09"/>
    <w:multiLevelType w:val="hybridMultilevel"/>
    <w:tmpl w:val="9822E234"/>
    <w:lvl w:ilvl="0" w:tplc="FFFFFFFF">
      <w:start w:val="1"/>
      <w:numFmt w:val="decimal"/>
      <w:lvlText w:val="%1."/>
      <w:lvlJc w:val="left"/>
      <w:pPr>
        <w:ind w:left="2198" w:hanging="360"/>
      </w:pPr>
      <w:rPr>
        <w:rFonts w:hint="default"/>
        <w:i w:val="0"/>
        <w:i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9" w15:restartNumberingAfterBreak="0">
    <w:nsid w:val="40C75BF4"/>
    <w:multiLevelType w:val="hybridMultilevel"/>
    <w:tmpl w:val="1DE64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030BA"/>
    <w:multiLevelType w:val="hybridMultilevel"/>
    <w:tmpl w:val="32A2D2A0"/>
    <w:lvl w:ilvl="0" w:tplc="FFFFFFFF">
      <w:start w:val="1"/>
      <w:numFmt w:val="decimal"/>
      <w:lvlText w:val="%1."/>
      <w:lvlJc w:val="left"/>
      <w:pPr>
        <w:ind w:left="2198"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76238"/>
    <w:multiLevelType w:val="hybridMultilevel"/>
    <w:tmpl w:val="ECA4D5C2"/>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F448B7"/>
    <w:multiLevelType w:val="hybridMultilevel"/>
    <w:tmpl w:val="3960A578"/>
    <w:lvl w:ilvl="0" w:tplc="E6026870">
      <w:start w:val="1"/>
      <w:numFmt w:val="decimal"/>
      <w:lvlText w:val="%1."/>
      <w:lvlJc w:val="left"/>
      <w:pPr>
        <w:ind w:left="2198" w:hanging="360"/>
      </w:pPr>
      <w:rPr>
        <w:rFonts w:hint="default"/>
        <w:i w:val="0"/>
        <w:iCs w:val="0"/>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3" w15:restartNumberingAfterBreak="0">
    <w:nsid w:val="530A65C7"/>
    <w:multiLevelType w:val="hybridMultilevel"/>
    <w:tmpl w:val="2008137C"/>
    <w:lvl w:ilvl="0" w:tplc="E38C088A">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932A4"/>
    <w:multiLevelType w:val="hybridMultilevel"/>
    <w:tmpl w:val="7A9AF8C8"/>
    <w:lvl w:ilvl="0" w:tplc="FFFFFFFF">
      <w:start w:val="1"/>
      <w:numFmt w:val="decimal"/>
      <w:lvlText w:val="%1."/>
      <w:lvlJc w:val="left"/>
      <w:pPr>
        <w:ind w:left="2198" w:hanging="360"/>
      </w:pPr>
      <w:rPr>
        <w:rFonts w:hint="default"/>
        <w:i w:val="0"/>
        <w:i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5" w15:restartNumberingAfterBreak="0">
    <w:nsid w:val="5E9D729E"/>
    <w:multiLevelType w:val="hybridMultilevel"/>
    <w:tmpl w:val="8376BF3C"/>
    <w:lvl w:ilvl="0" w:tplc="FFFFFFFF">
      <w:start w:val="1"/>
      <w:numFmt w:val="decimal"/>
      <w:lvlText w:val="%1."/>
      <w:lvlJc w:val="left"/>
      <w:pPr>
        <w:ind w:left="2912" w:hanging="360"/>
      </w:pPr>
      <w:rPr>
        <w:rFonts w:hint="default"/>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314972"/>
    <w:multiLevelType w:val="hybridMultilevel"/>
    <w:tmpl w:val="F7729398"/>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4336C8"/>
    <w:multiLevelType w:val="hybridMultilevel"/>
    <w:tmpl w:val="90BC10FE"/>
    <w:lvl w:ilvl="0" w:tplc="FFFFFFFF">
      <w:start w:val="1"/>
      <w:numFmt w:val="decimal"/>
      <w:lvlText w:val="%1."/>
      <w:lvlJc w:val="left"/>
      <w:pPr>
        <w:ind w:left="2198" w:hanging="360"/>
      </w:pPr>
      <w:rPr>
        <w:rFonts w:hint="default"/>
        <w:i w:val="0"/>
        <w:i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644E5A49"/>
    <w:multiLevelType w:val="hybridMultilevel"/>
    <w:tmpl w:val="E2325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B2A28"/>
    <w:multiLevelType w:val="hybridMultilevel"/>
    <w:tmpl w:val="D0085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62697"/>
    <w:multiLevelType w:val="hybridMultilevel"/>
    <w:tmpl w:val="6EBC80E0"/>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1" w15:restartNumberingAfterBreak="0">
    <w:nsid w:val="6A563C28"/>
    <w:multiLevelType w:val="hybridMultilevel"/>
    <w:tmpl w:val="FE36F164"/>
    <w:lvl w:ilvl="0" w:tplc="FFFFFFFF">
      <w:start w:val="1"/>
      <w:numFmt w:val="decimal"/>
      <w:lvlText w:val="%1."/>
      <w:lvlJc w:val="left"/>
      <w:pPr>
        <w:ind w:left="2198" w:hanging="360"/>
      </w:pPr>
      <w:rPr>
        <w:rFonts w:hint="default"/>
        <w:i w:val="0"/>
        <w:i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2" w15:restartNumberingAfterBreak="0">
    <w:nsid w:val="73794C11"/>
    <w:multiLevelType w:val="hybridMultilevel"/>
    <w:tmpl w:val="5D4CBF86"/>
    <w:lvl w:ilvl="0" w:tplc="FFFFFFFF">
      <w:start w:val="3"/>
      <w:numFmt w:val="decimal"/>
      <w:lvlText w:val="%1."/>
      <w:lvlJc w:val="left"/>
      <w:pPr>
        <w:ind w:left="1004" w:hanging="360"/>
      </w:pPr>
      <w:rPr>
        <w:rFonts w:hint="default"/>
      </w:rPr>
    </w:lvl>
    <w:lvl w:ilvl="1" w:tplc="FFFFFFFF">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780487214">
    <w:abstractNumId w:val="7"/>
  </w:num>
  <w:num w:numId="2" w16cid:durableId="1862547383">
    <w:abstractNumId w:val="30"/>
  </w:num>
  <w:num w:numId="3" w16cid:durableId="764887709">
    <w:abstractNumId w:val="5"/>
  </w:num>
  <w:num w:numId="4" w16cid:durableId="1217736386">
    <w:abstractNumId w:val="3"/>
  </w:num>
  <w:num w:numId="5" w16cid:durableId="2145542983">
    <w:abstractNumId w:val="25"/>
  </w:num>
  <w:num w:numId="6" w16cid:durableId="1651667727">
    <w:abstractNumId w:val="21"/>
  </w:num>
  <w:num w:numId="7" w16cid:durableId="40637123">
    <w:abstractNumId w:val="28"/>
  </w:num>
  <w:num w:numId="8" w16cid:durableId="1333412349">
    <w:abstractNumId w:val="23"/>
  </w:num>
  <w:num w:numId="9" w16cid:durableId="712004018">
    <w:abstractNumId w:val="1"/>
  </w:num>
  <w:num w:numId="10" w16cid:durableId="52050585">
    <w:abstractNumId w:val="14"/>
  </w:num>
  <w:num w:numId="11" w16cid:durableId="1821726230">
    <w:abstractNumId w:val="26"/>
  </w:num>
  <w:num w:numId="12" w16cid:durableId="800809447">
    <w:abstractNumId w:val="6"/>
  </w:num>
  <w:num w:numId="13" w16cid:durableId="1695113050">
    <w:abstractNumId w:val="16"/>
  </w:num>
  <w:num w:numId="14" w16cid:durableId="2063408244">
    <w:abstractNumId w:val="8"/>
  </w:num>
  <w:num w:numId="15" w16cid:durableId="355153123">
    <w:abstractNumId w:val="13"/>
  </w:num>
  <w:num w:numId="16" w16cid:durableId="1519198187">
    <w:abstractNumId w:val="12"/>
  </w:num>
  <w:num w:numId="17" w16cid:durableId="1022322235">
    <w:abstractNumId w:val="10"/>
  </w:num>
  <w:num w:numId="18" w16cid:durableId="1139302688">
    <w:abstractNumId w:val="22"/>
  </w:num>
  <w:num w:numId="19" w16cid:durableId="1226645328">
    <w:abstractNumId w:val="2"/>
  </w:num>
  <w:num w:numId="20" w16cid:durableId="628710615">
    <w:abstractNumId w:val="29"/>
  </w:num>
  <w:num w:numId="21" w16cid:durableId="641807984">
    <w:abstractNumId w:val="9"/>
  </w:num>
  <w:num w:numId="22" w16cid:durableId="665013307">
    <w:abstractNumId w:val="11"/>
  </w:num>
  <w:num w:numId="23" w16cid:durableId="1932279422">
    <w:abstractNumId w:val="17"/>
  </w:num>
  <w:num w:numId="24" w16cid:durableId="1623266599">
    <w:abstractNumId w:val="19"/>
  </w:num>
  <w:num w:numId="25" w16cid:durableId="965961926">
    <w:abstractNumId w:val="15"/>
  </w:num>
  <w:num w:numId="26" w16cid:durableId="935211853">
    <w:abstractNumId w:val="20"/>
  </w:num>
  <w:num w:numId="27" w16cid:durableId="1978104336">
    <w:abstractNumId w:val="4"/>
  </w:num>
  <w:num w:numId="28" w16cid:durableId="1944221987">
    <w:abstractNumId w:val="0"/>
  </w:num>
  <w:num w:numId="29" w16cid:durableId="803700271">
    <w:abstractNumId w:val="18"/>
  </w:num>
  <w:num w:numId="30" w16cid:durableId="1339234418">
    <w:abstractNumId w:val="27"/>
  </w:num>
  <w:num w:numId="31" w16cid:durableId="2035694547">
    <w:abstractNumId w:val="24"/>
  </w:num>
  <w:num w:numId="32" w16cid:durableId="149517123">
    <w:abstractNumId w:val="31"/>
  </w:num>
  <w:num w:numId="33" w16cid:durableId="8641712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B3"/>
    <w:rsid w:val="00007BC4"/>
    <w:rsid w:val="000100CD"/>
    <w:rsid w:val="00011764"/>
    <w:rsid w:val="00012E84"/>
    <w:rsid w:val="00015B3F"/>
    <w:rsid w:val="0002117E"/>
    <w:rsid w:val="00027F76"/>
    <w:rsid w:val="00030AEC"/>
    <w:rsid w:val="000339EB"/>
    <w:rsid w:val="00033A76"/>
    <w:rsid w:val="0003447E"/>
    <w:rsid w:val="00036B08"/>
    <w:rsid w:val="00041B97"/>
    <w:rsid w:val="00043385"/>
    <w:rsid w:val="00045C2F"/>
    <w:rsid w:val="00046599"/>
    <w:rsid w:val="00047077"/>
    <w:rsid w:val="00050947"/>
    <w:rsid w:val="00051064"/>
    <w:rsid w:val="00051132"/>
    <w:rsid w:val="00054723"/>
    <w:rsid w:val="000547EC"/>
    <w:rsid w:val="00056B34"/>
    <w:rsid w:val="00056EC2"/>
    <w:rsid w:val="00057650"/>
    <w:rsid w:val="00057F5D"/>
    <w:rsid w:val="000600EE"/>
    <w:rsid w:val="00060339"/>
    <w:rsid w:val="000617A1"/>
    <w:rsid w:val="000650B5"/>
    <w:rsid w:val="0007542F"/>
    <w:rsid w:val="000765AD"/>
    <w:rsid w:val="000775E9"/>
    <w:rsid w:val="00081A4F"/>
    <w:rsid w:val="000825BB"/>
    <w:rsid w:val="00084CD7"/>
    <w:rsid w:val="00087372"/>
    <w:rsid w:val="00092263"/>
    <w:rsid w:val="00092A06"/>
    <w:rsid w:val="00093CCC"/>
    <w:rsid w:val="00095CCE"/>
    <w:rsid w:val="0009627D"/>
    <w:rsid w:val="000A03AC"/>
    <w:rsid w:val="000A0515"/>
    <w:rsid w:val="000A414A"/>
    <w:rsid w:val="000A415B"/>
    <w:rsid w:val="000A42E5"/>
    <w:rsid w:val="000A76F0"/>
    <w:rsid w:val="000A7A62"/>
    <w:rsid w:val="000B0901"/>
    <w:rsid w:val="000B4E93"/>
    <w:rsid w:val="000B7AC1"/>
    <w:rsid w:val="000C0E5E"/>
    <w:rsid w:val="000C1542"/>
    <w:rsid w:val="000C2A48"/>
    <w:rsid w:val="000C2FDE"/>
    <w:rsid w:val="000C4075"/>
    <w:rsid w:val="000C59EF"/>
    <w:rsid w:val="000C7D90"/>
    <w:rsid w:val="000D34FF"/>
    <w:rsid w:val="000D45D6"/>
    <w:rsid w:val="000D5EC9"/>
    <w:rsid w:val="000D5F77"/>
    <w:rsid w:val="000D60C0"/>
    <w:rsid w:val="000D790A"/>
    <w:rsid w:val="000E1E21"/>
    <w:rsid w:val="000E261F"/>
    <w:rsid w:val="000E264F"/>
    <w:rsid w:val="000E292E"/>
    <w:rsid w:val="000E4364"/>
    <w:rsid w:val="000E67D4"/>
    <w:rsid w:val="000E7270"/>
    <w:rsid w:val="000E73BD"/>
    <w:rsid w:val="000F13A3"/>
    <w:rsid w:val="000F1A82"/>
    <w:rsid w:val="000F6FF5"/>
    <w:rsid w:val="000F78FB"/>
    <w:rsid w:val="0010083A"/>
    <w:rsid w:val="001050CE"/>
    <w:rsid w:val="00105C22"/>
    <w:rsid w:val="00106792"/>
    <w:rsid w:val="001072F7"/>
    <w:rsid w:val="00110BD2"/>
    <w:rsid w:val="0011148E"/>
    <w:rsid w:val="00114D10"/>
    <w:rsid w:val="001176B5"/>
    <w:rsid w:val="00117D34"/>
    <w:rsid w:val="0012228D"/>
    <w:rsid w:val="001233AB"/>
    <w:rsid w:val="001250CB"/>
    <w:rsid w:val="00125431"/>
    <w:rsid w:val="0012717A"/>
    <w:rsid w:val="001339AC"/>
    <w:rsid w:val="001344D9"/>
    <w:rsid w:val="00134806"/>
    <w:rsid w:val="00134CC2"/>
    <w:rsid w:val="00135888"/>
    <w:rsid w:val="00137F59"/>
    <w:rsid w:val="00140080"/>
    <w:rsid w:val="0014164B"/>
    <w:rsid w:val="0014168A"/>
    <w:rsid w:val="00142F06"/>
    <w:rsid w:val="0014338B"/>
    <w:rsid w:val="00144E0A"/>
    <w:rsid w:val="00146679"/>
    <w:rsid w:val="001476E3"/>
    <w:rsid w:val="00153F25"/>
    <w:rsid w:val="00153FEC"/>
    <w:rsid w:val="00157FCE"/>
    <w:rsid w:val="001629A6"/>
    <w:rsid w:val="001654B4"/>
    <w:rsid w:val="001654FE"/>
    <w:rsid w:val="00166A6B"/>
    <w:rsid w:val="00174A65"/>
    <w:rsid w:val="001801D7"/>
    <w:rsid w:val="00180C84"/>
    <w:rsid w:val="00181423"/>
    <w:rsid w:val="00182121"/>
    <w:rsid w:val="001843C1"/>
    <w:rsid w:val="00187294"/>
    <w:rsid w:val="00187481"/>
    <w:rsid w:val="001874A0"/>
    <w:rsid w:val="00187B42"/>
    <w:rsid w:val="001930BF"/>
    <w:rsid w:val="00197097"/>
    <w:rsid w:val="00197E54"/>
    <w:rsid w:val="001A1BF2"/>
    <w:rsid w:val="001A22BD"/>
    <w:rsid w:val="001A3945"/>
    <w:rsid w:val="001A507F"/>
    <w:rsid w:val="001A6665"/>
    <w:rsid w:val="001A68D9"/>
    <w:rsid w:val="001A7004"/>
    <w:rsid w:val="001A7987"/>
    <w:rsid w:val="001A7EC3"/>
    <w:rsid w:val="001B102C"/>
    <w:rsid w:val="001C61EF"/>
    <w:rsid w:val="001D001D"/>
    <w:rsid w:val="001D3E4B"/>
    <w:rsid w:val="001D5F40"/>
    <w:rsid w:val="001E17C8"/>
    <w:rsid w:val="001E4BDF"/>
    <w:rsid w:val="001E4DC3"/>
    <w:rsid w:val="001E6CC8"/>
    <w:rsid w:val="001F1A49"/>
    <w:rsid w:val="001F1E6E"/>
    <w:rsid w:val="001F3CF4"/>
    <w:rsid w:val="002012B4"/>
    <w:rsid w:val="0021075B"/>
    <w:rsid w:val="00210ECA"/>
    <w:rsid w:val="002118FD"/>
    <w:rsid w:val="00214F00"/>
    <w:rsid w:val="00215F28"/>
    <w:rsid w:val="002162A0"/>
    <w:rsid w:val="00216873"/>
    <w:rsid w:val="002170E0"/>
    <w:rsid w:val="00220550"/>
    <w:rsid w:val="0022095B"/>
    <w:rsid w:val="00222C01"/>
    <w:rsid w:val="0022314A"/>
    <w:rsid w:val="00226362"/>
    <w:rsid w:val="002264BC"/>
    <w:rsid w:val="00227FE7"/>
    <w:rsid w:val="00234B04"/>
    <w:rsid w:val="002360D2"/>
    <w:rsid w:val="0023692D"/>
    <w:rsid w:val="002410EF"/>
    <w:rsid w:val="00242C72"/>
    <w:rsid w:val="0024317C"/>
    <w:rsid w:val="00245A54"/>
    <w:rsid w:val="002462B8"/>
    <w:rsid w:val="0025389B"/>
    <w:rsid w:val="00254B0C"/>
    <w:rsid w:val="00257DDD"/>
    <w:rsid w:val="00260B7D"/>
    <w:rsid w:val="00263035"/>
    <w:rsid w:val="0026465C"/>
    <w:rsid w:val="0026507D"/>
    <w:rsid w:val="00265084"/>
    <w:rsid w:val="00265CD9"/>
    <w:rsid w:val="00266A15"/>
    <w:rsid w:val="002700C1"/>
    <w:rsid w:val="00272241"/>
    <w:rsid w:val="0027734E"/>
    <w:rsid w:val="00280086"/>
    <w:rsid w:val="00282940"/>
    <w:rsid w:val="00283927"/>
    <w:rsid w:val="00283DB0"/>
    <w:rsid w:val="002951D4"/>
    <w:rsid w:val="00295812"/>
    <w:rsid w:val="0029659E"/>
    <w:rsid w:val="00296B4D"/>
    <w:rsid w:val="002A0A8C"/>
    <w:rsid w:val="002A168C"/>
    <w:rsid w:val="002A1728"/>
    <w:rsid w:val="002A405B"/>
    <w:rsid w:val="002A4568"/>
    <w:rsid w:val="002A66D1"/>
    <w:rsid w:val="002A6E3E"/>
    <w:rsid w:val="002A7D1D"/>
    <w:rsid w:val="002B0428"/>
    <w:rsid w:val="002B23B9"/>
    <w:rsid w:val="002B34AB"/>
    <w:rsid w:val="002B58E4"/>
    <w:rsid w:val="002B6E2D"/>
    <w:rsid w:val="002C0D55"/>
    <w:rsid w:val="002C17B1"/>
    <w:rsid w:val="002C1B0C"/>
    <w:rsid w:val="002C37C4"/>
    <w:rsid w:val="002C3B46"/>
    <w:rsid w:val="002C4EF0"/>
    <w:rsid w:val="002C689B"/>
    <w:rsid w:val="002E21FD"/>
    <w:rsid w:val="002E3ECF"/>
    <w:rsid w:val="002E4E57"/>
    <w:rsid w:val="002E502D"/>
    <w:rsid w:val="002E7DDF"/>
    <w:rsid w:val="00300668"/>
    <w:rsid w:val="00310048"/>
    <w:rsid w:val="003105E6"/>
    <w:rsid w:val="003126A0"/>
    <w:rsid w:val="0031454B"/>
    <w:rsid w:val="0031571A"/>
    <w:rsid w:val="00315E63"/>
    <w:rsid w:val="003229CD"/>
    <w:rsid w:val="003236DB"/>
    <w:rsid w:val="00324FB6"/>
    <w:rsid w:val="00325854"/>
    <w:rsid w:val="00327BF4"/>
    <w:rsid w:val="00336934"/>
    <w:rsid w:val="00340658"/>
    <w:rsid w:val="00340FF6"/>
    <w:rsid w:val="003418E9"/>
    <w:rsid w:val="00344D42"/>
    <w:rsid w:val="00351E76"/>
    <w:rsid w:val="003545EB"/>
    <w:rsid w:val="003551A6"/>
    <w:rsid w:val="003615FC"/>
    <w:rsid w:val="0036544F"/>
    <w:rsid w:val="00366986"/>
    <w:rsid w:val="00366AEE"/>
    <w:rsid w:val="003671FC"/>
    <w:rsid w:val="003702F1"/>
    <w:rsid w:val="00375C57"/>
    <w:rsid w:val="003771D1"/>
    <w:rsid w:val="00382CCD"/>
    <w:rsid w:val="003917C3"/>
    <w:rsid w:val="003922D3"/>
    <w:rsid w:val="00392E82"/>
    <w:rsid w:val="00395009"/>
    <w:rsid w:val="00395288"/>
    <w:rsid w:val="00397C8B"/>
    <w:rsid w:val="003A091A"/>
    <w:rsid w:val="003A135D"/>
    <w:rsid w:val="003A474B"/>
    <w:rsid w:val="003A5724"/>
    <w:rsid w:val="003B1C96"/>
    <w:rsid w:val="003B2819"/>
    <w:rsid w:val="003B5632"/>
    <w:rsid w:val="003C4FED"/>
    <w:rsid w:val="003C5805"/>
    <w:rsid w:val="003C5963"/>
    <w:rsid w:val="003C737C"/>
    <w:rsid w:val="003D4130"/>
    <w:rsid w:val="003D784D"/>
    <w:rsid w:val="003E27A3"/>
    <w:rsid w:val="003E3ABD"/>
    <w:rsid w:val="003E4AE0"/>
    <w:rsid w:val="003E64EE"/>
    <w:rsid w:val="003F2913"/>
    <w:rsid w:val="003F3430"/>
    <w:rsid w:val="003F479E"/>
    <w:rsid w:val="003F47B9"/>
    <w:rsid w:val="003F7E32"/>
    <w:rsid w:val="0040167C"/>
    <w:rsid w:val="0040190F"/>
    <w:rsid w:val="004029DA"/>
    <w:rsid w:val="00404523"/>
    <w:rsid w:val="00404913"/>
    <w:rsid w:val="00404F67"/>
    <w:rsid w:val="00407BA5"/>
    <w:rsid w:val="00410617"/>
    <w:rsid w:val="00414CB0"/>
    <w:rsid w:val="00427426"/>
    <w:rsid w:val="00431665"/>
    <w:rsid w:val="0043174A"/>
    <w:rsid w:val="004436F6"/>
    <w:rsid w:val="00443988"/>
    <w:rsid w:val="004461A5"/>
    <w:rsid w:val="004462EE"/>
    <w:rsid w:val="004506A1"/>
    <w:rsid w:val="004520BF"/>
    <w:rsid w:val="0045333D"/>
    <w:rsid w:val="004535E7"/>
    <w:rsid w:val="00454153"/>
    <w:rsid w:val="0045482D"/>
    <w:rsid w:val="0045585D"/>
    <w:rsid w:val="00456F26"/>
    <w:rsid w:val="004605B9"/>
    <w:rsid w:val="00460F89"/>
    <w:rsid w:val="00467C8C"/>
    <w:rsid w:val="00470518"/>
    <w:rsid w:val="004709E6"/>
    <w:rsid w:val="00470FA6"/>
    <w:rsid w:val="00472CE6"/>
    <w:rsid w:val="00481C4C"/>
    <w:rsid w:val="00491415"/>
    <w:rsid w:val="00493179"/>
    <w:rsid w:val="00493468"/>
    <w:rsid w:val="0049514D"/>
    <w:rsid w:val="00496C26"/>
    <w:rsid w:val="004A5AB8"/>
    <w:rsid w:val="004A6782"/>
    <w:rsid w:val="004A6831"/>
    <w:rsid w:val="004A6A6F"/>
    <w:rsid w:val="004B05EC"/>
    <w:rsid w:val="004B25E9"/>
    <w:rsid w:val="004B4D6F"/>
    <w:rsid w:val="004B52C5"/>
    <w:rsid w:val="004C4197"/>
    <w:rsid w:val="004D1D94"/>
    <w:rsid w:val="004D1F82"/>
    <w:rsid w:val="004D2018"/>
    <w:rsid w:val="004D24AA"/>
    <w:rsid w:val="004D2F1A"/>
    <w:rsid w:val="004D57B1"/>
    <w:rsid w:val="004D6550"/>
    <w:rsid w:val="004D786F"/>
    <w:rsid w:val="004E1CC3"/>
    <w:rsid w:val="004E266B"/>
    <w:rsid w:val="004E39E8"/>
    <w:rsid w:val="004E4B2A"/>
    <w:rsid w:val="004E512B"/>
    <w:rsid w:val="004E6670"/>
    <w:rsid w:val="004F09F5"/>
    <w:rsid w:val="004F1671"/>
    <w:rsid w:val="004F19EC"/>
    <w:rsid w:val="004F36FB"/>
    <w:rsid w:val="004F3A41"/>
    <w:rsid w:val="004F4175"/>
    <w:rsid w:val="004F445E"/>
    <w:rsid w:val="004F7DD9"/>
    <w:rsid w:val="005026E7"/>
    <w:rsid w:val="00505457"/>
    <w:rsid w:val="00511F6F"/>
    <w:rsid w:val="00517433"/>
    <w:rsid w:val="0052080E"/>
    <w:rsid w:val="005215E4"/>
    <w:rsid w:val="00521F94"/>
    <w:rsid w:val="00523382"/>
    <w:rsid w:val="005248B2"/>
    <w:rsid w:val="00533F30"/>
    <w:rsid w:val="0053589B"/>
    <w:rsid w:val="005363DE"/>
    <w:rsid w:val="00537464"/>
    <w:rsid w:val="00540C21"/>
    <w:rsid w:val="00546FF0"/>
    <w:rsid w:val="005500B6"/>
    <w:rsid w:val="00551308"/>
    <w:rsid w:val="00554C5D"/>
    <w:rsid w:val="00555376"/>
    <w:rsid w:val="005603A2"/>
    <w:rsid w:val="0056196E"/>
    <w:rsid w:val="00565019"/>
    <w:rsid w:val="00565A97"/>
    <w:rsid w:val="00565AF8"/>
    <w:rsid w:val="00567633"/>
    <w:rsid w:val="00567A52"/>
    <w:rsid w:val="005732F7"/>
    <w:rsid w:val="005739E6"/>
    <w:rsid w:val="00587FE2"/>
    <w:rsid w:val="0059047D"/>
    <w:rsid w:val="0059073D"/>
    <w:rsid w:val="0059091A"/>
    <w:rsid w:val="0059249B"/>
    <w:rsid w:val="005963B4"/>
    <w:rsid w:val="00597545"/>
    <w:rsid w:val="005A1366"/>
    <w:rsid w:val="005A1AC6"/>
    <w:rsid w:val="005A7099"/>
    <w:rsid w:val="005A74A6"/>
    <w:rsid w:val="005A7D2C"/>
    <w:rsid w:val="005B09E0"/>
    <w:rsid w:val="005B0B9F"/>
    <w:rsid w:val="005B0EAA"/>
    <w:rsid w:val="005B3146"/>
    <w:rsid w:val="005B3F11"/>
    <w:rsid w:val="005B41CA"/>
    <w:rsid w:val="005B70EC"/>
    <w:rsid w:val="005C1E25"/>
    <w:rsid w:val="005C3367"/>
    <w:rsid w:val="005C76D1"/>
    <w:rsid w:val="005C7E50"/>
    <w:rsid w:val="005D608A"/>
    <w:rsid w:val="005D7866"/>
    <w:rsid w:val="005E1142"/>
    <w:rsid w:val="005E1742"/>
    <w:rsid w:val="005E32B0"/>
    <w:rsid w:val="005E352E"/>
    <w:rsid w:val="005F0F5A"/>
    <w:rsid w:val="005F1633"/>
    <w:rsid w:val="005F2577"/>
    <w:rsid w:val="005F2959"/>
    <w:rsid w:val="006010E7"/>
    <w:rsid w:val="006018C3"/>
    <w:rsid w:val="006020C3"/>
    <w:rsid w:val="0060225E"/>
    <w:rsid w:val="00602C5D"/>
    <w:rsid w:val="00611EAA"/>
    <w:rsid w:val="00612F7E"/>
    <w:rsid w:val="006147CC"/>
    <w:rsid w:val="00615EB0"/>
    <w:rsid w:val="00624382"/>
    <w:rsid w:val="0062464C"/>
    <w:rsid w:val="00625349"/>
    <w:rsid w:val="00626FD2"/>
    <w:rsid w:val="006276E3"/>
    <w:rsid w:val="006313D1"/>
    <w:rsid w:val="00633BB3"/>
    <w:rsid w:val="006370F4"/>
    <w:rsid w:val="0064039A"/>
    <w:rsid w:val="00640A04"/>
    <w:rsid w:val="00641054"/>
    <w:rsid w:val="006416A3"/>
    <w:rsid w:val="006432A4"/>
    <w:rsid w:val="00645128"/>
    <w:rsid w:val="00645964"/>
    <w:rsid w:val="006474A1"/>
    <w:rsid w:val="006541E9"/>
    <w:rsid w:val="006552CE"/>
    <w:rsid w:val="00657E1F"/>
    <w:rsid w:val="00660B2B"/>
    <w:rsid w:val="00663810"/>
    <w:rsid w:val="0066623D"/>
    <w:rsid w:val="006718FF"/>
    <w:rsid w:val="0067215E"/>
    <w:rsid w:val="0067518E"/>
    <w:rsid w:val="00676510"/>
    <w:rsid w:val="006833EC"/>
    <w:rsid w:val="0068663C"/>
    <w:rsid w:val="006877C5"/>
    <w:rsid w:val="00687E38"/>
    <w:rsid w:val="006961A2"/>
    <w:rsid w:val="006A55FF"/>
    <w:rsid w:val="006B205C"/>
    <w:rsid w:val="006B24E6"/>
    <w:rsid w:val="006B4984"/>
    <w:rsid w:val="006B55F8"/>
    <w:rsid w:val="006B7116"/>
    <w:rsid w:val="006B7597"/>
    <w:rsid w:val="006B78AA"/>
    <w:rsid w:val="006B7A81"/>
    <w:rsid w:val="006C0D1E"/>
    <w:rsid w:val="006C2EE0"/>
    <w:rsid w:val="006C3249"/>
    <w:rsid w:val="006C49E1"/>
    <w:rsid w:val="006C6048"/>
    <w:rsid w:val="006C71EE"/>
    <w:rsid w:val="006D14B2"/>
    <w:rsid w:val="006D7F37"/>
    <w:rsid w:val="006E1630"/>
    <w:rsid w:val="006E218B"/>
    <w:rsid w:val="006E3ABD"/>
    <w:rsid w:val="006E474D"/>
    <w:rsid w:val="006E504E"/>
    <w:rsid w:val="006E533B"/>
    <w:rsid w:val="006F0BD9"/>
    <w:rsid w:val="006F2833"/>
    <w:rsid w:val="006F2C8D"/>
    <w:rsid w:val="006F33EA"/>
    <w:rsid w:val="006F34B5"/>
    <w:rsid w:val="00703302"/>
    <w:rsid w:val="00712331"/>
    <w:rsid w:val="00712E26"/>
    <w:rsid w:val="00713E03"/>
    <w:rsid w:val="00717A5F"/>
    <w:rsid w:val="007246F6"/>
    <w:rsid w:val="007247EC"/>
    <w:rsid w:val="007315BD"/>
    <w:rsid w:val="00731DE2"/>
    <w:rsid w:val="00734109"/>
    <w:rsid w:val="0073582F"/>
    <w:rsid w:val="00736626"/>
    <w:rsid w:val="007369D6"/>
    <w:rsid w:val="00737D2D"/>
    <w:rsid w:val="00737DF0"/>
    <w:rsid w:val="007402CE"/>
    <w:rsid w:val="0074476B"/>
    <w:rsid w:val="00744868"/>
    <w:rsid w:val="00744BD9"/>
    <w:rsid w:val="007478A9"/>
    <w:rsid w:val="00750F61"/>
    <w:rsid w:val="007533A6"/>
    <w:rsid w:val="00753ADA"/>
    <w:rsid w:val="00755324"/>
    <w:rsid w:val="007560E2"/>
    <w:rsid w:val="0075637C"/>
    <w:rsid w:val="00756581"/>
    <w:rsid w:val="00757B2B"/>
    <w:rsid w:val="00760C65"/>
    <w:rsid w:val="00762000"/>
    <w:rsid w:val="007643CA"/>
    <w:rsid w:val="00765AB4"/>
    <w:rsid w:val="00767E79"/>
    <w:rsid w:val="007702BF"/>
    <w:rsid w:val="0077368E"/>
    <w:rsid w:val="00776A1B"/>
    <w:rsid w:val="007806C8"/>
    <w:rsid w:val="00783B30"/>
    <w:rsid w:val="00784EA9"/>
    <w:rsid w:val="00797B0D"/>
    <w:rsid w:val="007A0F2A"/>
    <w:rsid w:val="007A3249"/>
    <w:rsid w:val="007A4617"/>
    <w:rsid w:val="007A4CBA"/>
    <w:rsid w:val="007A5C8A"/>
    <w:rsid w:val="007B232D"/>
    <w:rsid w:val="007B3719"/>
    <w:rsid w:val="007B3FB0"/>
    <w:rsid w:val="007B4CB1"/>
    <w:rsid w:val="007B5E24"/>
    <w:rsid w:val="007B75D1"/>
    <w:rsid w:val="007C04FA"/>
    <w:rsid w:val="007C31EE"/>
    <w:rsid w:val="007C3F8F"/>
    <w:rsid w:val="007C4403"/>
    <w:rsid w:val="007C6155"/>
    <w:rsid w:val="007C6687"/>
    <w:rsid w:val="007D0ADA"/>
    <w:rsid w:val="007D0C9C"/>
    <w:rsid w:val="007D10F3"/>
    <w:rsid w:val="007D1350"/>
    <w:rsid w:val="007D25A2"/>
    <w:rsid w:val="007D6ED1"/>
    <w:rsid w:val="007E0FF0"/>
    <w:rsid w:val="007E3C60"/>
    <w:rsid w:val="007E4021"/>
    <w:rsid w:val="007E6DC6"/>
    <w:rsid w:val="007E74F6"/>
    <w:rsid w:val="007E7E3F"/>
    <w:rsid w:val="007F007E"/>
    <w:rsid w:val="007F0485"/>
    <w:rsid w:val="007F0D3F"/>
    <w:rsid w:val="007F420C"/>
    <w:rsid w:val="007F5353"/>
    <w:rsid w:val="0080124D"/>
    <w:rsid w:val="00801427"/>
    <w:rsid w:val="00801E29"/>
    <w:rsid w:val="008033AD"/>
    <w:rsid w:val="00803BFD"/>
    <w:rsid w:val="00804778"/>
    <w:rsid w:val="00806F6A"/>
    <w:rsid w:val="00814180"/>
    <w:rsid w:val="00814B0F"/>
    <w:rsid w:val="0081658A"/>
    <w:rsid w:val="008221E4"/>
    <w:rsid w:val="00825B32"/>
    <w:rsid w:val="008310B3"/>
    <w:rsid w:val="00832AFE"/>
    <w:rsid w:val="00833080"/>
    <w:rsid w:val="00835E03"/>
    <w:rsid w:val="00836D8E"/>
    <w:rsid w:val="00840158"/>
    <w:rsid w:val="00842913"/>
    <w:rsid w:val="00842F36"/>
    <w:rsid w:val="0085079F"/>
    <w:rsid w:val="00851800"/>
    <w:rsid w:val="008524A9"/>
    <w:rsid w:val="00854271"/>
    <w:rsid w:val="00855C9C"/>
    <w:rsid w:val="0085630D"/>
    <w:rsid w:val="00862748"/>
    <w:rsid w:val="008627AA"/>
    <w:rsid w:val="0086492C"/>
    <w:rsid w:val="008657DB"/>
    <w:rsid w:val="00867B0D"/>
    <w:rsid w:val="00872494"/>
    <w:rsid w:val="008770B6"/>
    <w:rsid w:val="008779A1"/>
    <w:rsid w:val="00880A80"/>
    <w:rsid w:val="008819EB"/>
    <w:rsid w:val="008844DE"/>
    <w:rsid w:val="00885D5D"/>
    <w:rsid w:val="00891B66"/>
    <w:rsid w:val="00892326"/>
    <w:rsid w:val="00896116"/>
    <w:rsid w:val="008A0398"/>
    <w:rsid w:val="008A0B25"/>
    <w:rsid w:val="008A2126"/>
    <w:rsid w:val="008B0A9B"/>
    <w:rsid w:val="008B0CA3"/>
    <w:rsid w:val="008B1177"/>
    <w:rsid w:val="008B3120"/>
    <w:rsid w:val="008C305F"/>
    <w:rsid w:val="008C3E6B"/>
    <w:rsid w:val="008C5283"/>
    <w:rsid w:val="008D0061"/>
    <w:rsid w:val="008D0F01"/>
    <w:rsid w:val="008D19CC"/>
    <w:rsid w:val="008D3EF5"/>
    <w:rsid w:val="008D5B74"/>
    <w:rsid w:val="008D6010"/>
    <w:rsid w:val="008D74E2"/>
    <w:rsid w:val="008D7E7E"/>
    <w:rsid w:val="008E0B3B"/>
    <w:rsid w:val="008E0E1B"/>
    <w:rsid w:val="008E16AC"/>
    <w:rsid w:val="008E4AC7"/>
    <w:rsid w:val="008E5553"/>
    <w:rsid w:val="008E5FA5"/>
    <w:rsid w:val="008E647D"/>
    <w:rsid w:val="008F1DFE"/>
    <w:rsid w:val="008F33D8"/>
    <w:rsid w:val="008F639C"/>
    <w:rsid w:val="0090318E"/>
    <w:rsid w:val="00903D00"/>
    <w:rsid w:val="00904503"/>
    <w:rsid w:val="0090504B"/>
    <w:rsid w:val="00910353"/>
    <w:rsid w:val="00910A89"/>
    <w:rsid w:val="00910F2B"/>
    <w:rsid w:val="009128AD"/>
    <w:rsid w:val="0091418E"/>
    <w:rsid w:val="0091433F"/>
    <w:rsid w:val="00914D52"/>
    <w:rsid w:val="009154F7"/>
    <w:rsid w:val="00915ECE"/>
    <w:rsid w:val="009202D9"/>
    <w:rsid w:val="00922109"/>
    <w:rsid w:val="009236ED"/>
    <w:rsid w:val="0092605E"/>
    <w:rsid w:val="00942FF7"/>
    <w:rsid w:val="00950845"/>
    <w:rsid w:val="00951F1D"/>
    <w:rsid w:val="00952AD2"/>
    <w:rsid w:val="00952D13"/>
    <w:rsid w:val="00954776"/>
    <w:rsid w:val="00954945"/>
    <w:rsid w:val="00955E01"/>
    <w:rsid w:val="0096077C"/>
    <w:rsid w:val="00962776"/>
    <w:rsid w:val="009668EF"/>
    <w:rsid w:val="0097227A"/>
    <w:rsid w:val="00972EE5"/>
    <w:rsid w:val="0097308D"/>
    <w:rsid w:val="009748F3"/>
    <w:rsid w:val="00975257"/>
    <w:rsid w:val="00975A79"/>
    <w:rsid w:val="00976401"/>
    <w:rsid w:val="00980865"/>
    <w:rsid w:val="00983194"/>
    <w:rsid w:val="0098463E"/>
    <w:rsid w:val="00985809"/>
    <w:rsid w:val="00985A80"/>
    <w:rsid w:val="00986445"/>
    <w:rsid w:val="0098716D"/>
    <w:rsid w:val="009915E8"/>
    <w:rsid w:val="0099298F"/>
    <w:rsid w:val="00992C3C"/>
    <w:rsid w:val="00995C52"/>
    <w:rsid w:val="009A38A0"/>
    <w:rsid w:val="009A4797"/>
    <w:rsid w:val="009A5A47"/>
    <w:rsid w:val="009B0AA6"/>
    <w:rsid w:val="009B3DC6"/>
    <w:rsid w:val="009B42C7"/>
    <w:rsid w:val="009B641E"/>
    <w:rsid w:val="009B683E"/>
    <w:rsid w:val="009C0E51"/>
    <w:rsid w:val="009C2265"/>
    <w:rsid w:val="009C3EF5"/>
    <w:rsid w:val="009C407C"/>
    <w:rsid w:val="009C65C5"/>
    <w:rsid w:val="009D1433"/>
    <w:rsid w:val="009D3C08"/>
    <w:rsid w:val="009D44CE"/>
    <w:rsid w:val="009D5F60"/>
    <w:rsid w:val="009D76E8"/>
    <w:rsid w:val="009E0352"/>
    <w:rsid w:val="009E7B84"/>
    <w:rsid w:val="009F1AEC"/>
    <w:rsid w:val="009F54DB"/>
    <w:rsid w:val="009F6926"/>
    <w:rsid w:val="009F6B7C"/>
    <w:rsid w:val="009F7B01"/>
    <w:rsid w:val="00A00D23"/>
    <w:rsid w:val="00A0101C"/>
    <w:rsid w:val="00A03A97"/>
    <w:rsid w:val="00A07CD3"/>
    <w:rsid w:val="00A107E9"/>
    <w:rsid w:val="00A13AEF"/>
    <w:rsid w:val="00A154C3"/>
    <w:rsid w:val="00A15AA3"/>
    <w:rsid w:val="00A1656B"/>
    <w:rsid w:val="00A16DCC"/>
    <w:rsid w:val="00A204AE"/>
    <w:rsid w:val="00A20A07"/>
    <w:rsid w:val="00A235A6"/>
    <w:rsid w:val="00A24330"/>
    <w:rsid w:val="00A249FA"/>
    <w:rsid w:val="00A24BEB"/>
    <w:rsid w:val="00A27285"/>
    <w:rsid w:val="00A33697"/>
    <w:rsid w:val="00A3420D"/>
    <w:rsid w:val="00A3422D"/>
    <w:rsid w:val="00A345FF"/>
    <w:rsid w:val="00A369E9"/>
    <w:rsid w:val="00A37835"/>
    <w:rsid w:val="00A404A8"/>
    <w:rsid w:val="00A406DE"/>
    <w:rsid w:val="00A40F35"/>
    <w:rsid w:val="00A43BD1"/>
    <w:rsid w:val="00A43C63"/>
    <w:rsid w:val="00A447D7"/>
    <w:rsid w:val="00A477E7"/>
    <w:rsid w:val="00A47A52"/>
    <w:rsid w:val="00A53DD1"/>
    <w:rsid w:val="00A54218"/>
    <w:rsid w:val="00A57306"/>
    <w:rsid w:val="00A6181E"/>
    <w:rsid w:val="00A619CB"/>
    <w:rsid w:val="00A6221C"/>
    <w:rsid w:val="00A63584"/>
    <w:rsid w:val="00A635D5"/>
    <w:rsid w:val="00A660DC"/>
    <w:rsid w:val="00A66705"/>
    <w:rsid w:val="00A67916"/>
    <w:rsid w:val="00A71FF3"/>
    <w:rsid w:val="00A82586"/>
    <w:rsid w:val="00A84470"/>
    <w:rsid w:val="00A85799"/>
    <w:rsid w:val="00A86951"/>
    <w:rsid w:val="00A87272"/>
    <w:rsid w:val="00A94442"/>
    <w:rsid w:val="00A949CD"/>
    <w:rsid w:val="00A974B4"/>
    <w:rsid w:val="00AA0517"/>
    <w:rsid w:val="00AA08EF"/>
    <w:rsid w:val="00AA3545"/>
    <w:rsid w:val="00AA620C"/>
    <w:rsid w:val="00AB319B"/>
    <w:rsid w:val="00AB488F"/>
    <w:rsid w:val="00AB5547"/>
    <w:rsid w:val="00AB594E"/>
    <w:rsid w:val="00AC0017"/>
    <w:rsid w:val="00AC30E5"/>
    <w:rsid w:val="00AC3E70"/>
    <w:rsid w:val="00AC6BA5"/>
    <w:rsid w:val="00AD0E2E"/>
    <w:rsid w:val="00AD3984"/>
    <w:rsid w:val="00AD6223"/>
    <w:rsid w:val="00AD6C74"/>
    <w:rsid w:val="00AE58C9"/>
    <w:rsid w:val="00AE7358"/>
    <w:rsid w:val="00AE7CDF"/>
    <w:rsid w:val="00AF01D3"/>
    <w:rsid w:val="00AF098C"/>
    <w:rsid w:val="00AF234F"/>
    <w:rsid w:val="00B026B8"/>
    <w:rsid w:val="00B03CC0"/>
    <w:rsid w:val="00B05C74"/>
    <w:rsid w:val="00B07BB5"/>
    <w:rsid w:val="00B1096F"/>
    <w:rsid w:val="00B1226F"/>
    <w:rsid w:val="00B12565"/>
    <w:rsid w:val="00B14602"/>
    <w:rsid w:val="00B14603"/>
    <w:rsid w:val="00B16457"/>
    <w:rsid w:val="00B17528"/>
    <w:rsid w:val="00B17609"/>
    <w:rsid w:val="00B205E8"/>
    <w:rsid w:val="00B20A71"/>
    <w:rsid w:val="00B215D5"/>
    <w:rsid w:val="00B22655"/>
    <w:rsid w:val="00B23911"/>
    <w:rsid w:val="00B30F58"/>
    <w:rsid w:val="00B364B6"/>
    <w:rsid w:val="00B370A2"/>
    <w:rsid w:val="00B371F9"/>
    <w:rsid w:val="00B378A0"/>
    <w:rsid w:val="00B4165F"/>
    <w:rsid w:val="00B4266D"/>
    <w:rsid w:val="00B50119"/>
    <w:rsid w:val="00B52EE8"/>
    <w:rsid w:val="00B538D7"/>
    <w:rsid w:val="00B55154"/>
    <w:rsid w:val="00B56F50"/>
    <w:rsid w:val="00B64342"/>
    <w:rsid w:val="00B64B87"/>
    <w:rsid w:val="00B73931"/>
    <w:rsid w:val="00B74728"/>
    <w:rsid w:val="00B7538A"/>
    <w:rsid w:val="00B80457"/>
    <w:rsid w:val="00B857D1"/>
    <w:rsid w:val="00B86F20"/>
    <w:rsid w:val="00B90C0A"/>
    <w:rsid w:val="00B93999"/>
    <w:rsid w:val="00B93E51"/>
    <w:rsid w:val="00B950D2"/>
    <w:rsid w:val="00B9698A"/>
    <w:rsid w:val="00B96DA3"/>
    <w:rsid w:val="00B973BF"/>
    <w:rsid w:val="00BA4A6C"/>
    <w:rsid w:val="00BA6BF2"/>
    <w:rsid w:val="00BB0491"/>
    <w:rsid w:val="00BB0C5E"/>
    <w:rsid w:val="00BB1C25"/>
    <w:rsid w:val="00BB27D6"/>
    <w:rsid w:val="00BB311C"/>
    <w:rsid w:val="00BB6D5C"/>
    <w:rsid w:val="00BC065B"/>
    <w:rsid w:val="00BC1437"/>
    <w:rsid w:val="00BC1C9C"/>
    <w:rsid w:val="00BC4053"/>
    <w:rsid w:val="00BC4239"/>
    <w:rsid w:val="00BC5F47"/>
    <w:rsid w:val="00BC6CEA"/>
    <w:rsid w:val="00BD1246"/>
    <w:rsid w:val="00BD1872"/>
    <w:rsid w:val="00BD48FD"/>
    <w:rsid w:val="00BD5FC6"/>
    <w:rsid w:val="00BE2E80"/>
    <w:rsid w:val="00BE3E93"/>
    <w:rsid w:val="00BE53F3"/>
    <w:rsid w:val="00BE5C2C"/>
    <w:rsid w:val="00BE5D0A"/>
    <w:rsid w:val="00BE5DDE"/>
    <w:rsid w:val="00BF3BFF"/>
    <w:rsid w:val="00BF6FE4"/>
    <w:rsid w:val="00C00378"/>
    <w:rsid w:val="00C02350"/>
    <w:rsid w:val="00C047A3"/>
    <w:rsid w:val="00C058B4"/>
    <w:rsid w:val="00C0601B"/>
    <w:rsid w:val="00C0728A"/>
    <w:rsid w:val="00C12C5B"/>
    <w:rsid w:val="00C15F39"/>
    <w:rsid w:val="00C2424F"/>
    <w:rsid w:val="00C2430F"/>
    <w:rsid w:val="00C24902"/>
    <w:rsid w:val="00C249BD"/>
    <w:rsid w:val="00C2517C"/>
    <w:rsid w:val="00C274DA"/>
    <w:rsid w:val="00C27D35"/>
    <w:rsid w:val="00C32D13"/>
    <w:rsid w:val="00C34B88"/>
    <w:rsid w:val="00C36677"/>
    <w:rsid w:val="00C40523"/>
    <w:rsid w:val="00C42110"/>
    <w:rsid w:val="00C446FB"/>
    <w:rsid w:val="00C45E7F"/>
    <w:rsid w:val="00C46E17"/>
    <w:rsid w:val="00C500C3"/>
    <w:rsid w:val="00C51F78"/>
    <w:rsid w:val="00C54A0A"/>
    <w:rsid w:val="00C54D52"/>
    <w:rsid w:val="00C56581"/>
    <w:rsid w:val="00C568AC"/>
    <w:rsid w:val="00C56D03"/>
    <w:rsid w:val="00C572A8"/>
    <w:rsid w:val="00C61FA7"/>
    <w:rsid w:val="00C629DA"/>
    <w:rsid w:val="00C65173"/>
    <w:rsid w:val="00C65515"/>
    <w:rsid w:val="00C65991"/>
    <w:rsid w:val="00C70ECF"/>
    <w:rsid w:val="00C7343E"/>
    <w:rsid w:val="00C74709"/>
    <w:rsid w:val="00C75454"/>
    <w:rsid w:val="00C85B47"/>
    <w:rsid w:val="00C863A1"/>
    <w:rsid w:val="00C867F6"/>
    <w:rsid w:val="00C90EAD"/>
    <w:rsid w:val="00C91E99"/>
    <w:rsid w:val="00C9545B"/>
    <w:rsid w:val="00C968D6"/>
    <w:rsid w:val="00CA12AD"/>
    <w:rsid w:val="00CA1BB6"/>
    <w:rsid w:val="00CA2D78"/>
    <w:rsid w:val="00CA3121"/>
    <w:rsid w:val="00CA3A1B"/>
    <w:rsid w:val="00CA5E13"/>
    <w:rsid w:val="00CA65CD"/>
    <w:rsid w:val="00CA7027"/>
    <w:rsid w:val="00CA78EF"/>
    <w:rsid w:val="00CA7C38"/>
    <w:rsid w:val="00CA7E8E"/>
    <w:rsid w:val="00CB1855"/>
    <w:rsid w:val="00CB3BBC"/>
    <w:rsid w:val="00CB4702"/>
    <w:rsid w:val="00CB52A3"/>
    <w:rsid w:val="00CB70FF"/>
    <w:rsid w:val="00CB7141"/>
    <w:rsid w:val="00CB7F66"/>
    <w:rsid w:val="00CC124F"/>
    <w:rsid w:val="00CC1392"/>
    <w:rsid w:val="00CC2EA6"/>
    <w:rsid w:val="00CC3B8A"/>
    <w:rsid w:val="00CC712E"/>
    <w:rsid w:val="00CD3745"/>
    <w:rsid w:val="00CD7901"/>
    <w:rsid w:val="00CD7D87"/>
    <w:rsid w:val="00CD7E82"/>
    <w:rsid w:val="00CE08E1"/>
    <w:rsid w:val="00CE114A"/>
    <w:rsid w:val="00CE2111"/>
    <w:rsid w:val="00CE2C22"/>
    <w:rsid w:val="00CE2ED7"/>
    <w:rsid w:val="00CE411E"/>
    <w:rsid w:val="00CE64DA"/>
    <w:rsid w:val="00CF3CCF"/>
    <w:rsid w:val="00CF44A5"/>
    <w:rsid w:val="00CF5B59"/>
    <w:rsid w:val="00CF69A4"/>
    <w:rsid w:val="00D016AA"/>
    <w:rsid w:val="00D0291D"/>
    <w:rsid w:val="00D05CCD"/>
    <w:rsid w:val="00D06368"/>
    <w:rsid w:val="00D1158C"/>
    <w:rsid w:val="00D11814"/>
    <w:rsid w:val="00D120ED"/>
    <w:rsid w:val="00D16393"/>
    <w:rsid w:val="00D210D2"/>
    <w:rsid w:val="00D244EA"/>
    <w:rsid w:val="00D25927"/>
    <w:rsid w:val="00D309F2"/>
    <w:rsid w:val="00D31205"/>
    <w:rsid w:val="00D31544"/>
    <w:rsid w:val="00D3317B"/>
    <w:rsid w:val="00D35813"/>
    <w:rsid w:val="00D3653D"/>
    <w:rsid w:val="00D3740A"/>
    <w:rsid w:val="00D4563E"/>
    <w:rsid w:val="00D533D2"/>
    <w:rsid w:val="00D54524"/>
    <w:rsid w:val="00D5653E"/>
    <w:rsid w:val="00D56BEA"/>
    <w:rsid w:val="00D6241B"/>
    <w:rsid w:val="00D6297A"/>
    <w:rsid w:val="00D65E1D"/>
    <w:rsid w:val="00D665E1"/>
    <w:rsid w:val="00D702E9"/>
    <w:rsid w:val="00D70E2C"/>
    <w:rsid w:val="00D72568"/>
    <w:rsid w:val="00D73117"/>
    <w:rsid w:val="00D747E3"/>
    <w:rsid w:val="00D74C64"/>
    <w:rsid w:val="00D75C3F"/>
    <w:rsid w:val="00D82CD5"/>
    <w:rsid w:val="00D84331"/>
    <w:rsid w:val="00D86DBB"/>
    <w:rsid w:val="00D90A1E"/>
    <w:rsid w:val="00D91D27"/>
    <w:rsid w:val="00D9389E"/>
    <w:rsid w:val="00D959C0"/>
    <w:rsid w:val="00D9608A"/>
    <w:rsid w:val="00D96796"/>
    <w:rsid w:val="00D97672"/>
    <w:rsid w:val="00DA0897"/>
    <w:rsid w:val="00DA1CCD"/>
    <w:rsid w:val="00DA29AE"/>
    <w:rsid w:val="00DB1A00"/>
    <w:rsid w:val="00DB2A50"/>
    <w:rsid w:val="00DB3F3C"/>
    <w:rsid w:val="00DB4CCD"/>
    <w:rsid w:val="00DC121D"/>
    <w:rsid w:val="00DC18B4"/>
    <w:rsid w:val="00DC3A4B"/>
    <w:rsid w:val="00DC6C34"/>
    <w:rsid w:val="00DD172D"/>
    <w:rsid w:val="00DD21CB"/>
    <w:rsid w:val="00DD6E62"/>
    <w:rsid w:val="00DD7570"/>
    <w:rsid w:val="00DE08FE"/>
    <w:rsid w:val="00DE1079"/>
    <w:rsid w:val="00DE3976"/>
    <w:rsid w:val="00DE6419"/>
    <w:rsid w:val="00DF083E"/>
    <w:rsid w:val="00DF4AFF"/>
    <w:rsid w:val="00DF6B63"/>
    <w:rsid w:val="00E04FF2"/>
    <w:rsid w:val="00E0711D"/>
    <w:rsid w:val="00E079B3"/>
    <w:rsid w:val="00E114E6"/>
    <w:rsid w:val="00E117E9"/>
    <w:rsid w:val="00E1261F"/>
    <w:rsid w:val="00E13972"/>
    <w:rsid w:val="00E1606B"/>
    <w:rsid w:val="00E16745"/>
    <w:rsid w:val="00E203E3"/>
    <w:rsid w:val="00E24967"/>
    <w:rsid w:val="00E308E4"/>
    <w:rsid w:val="00E37F01"/>
    <w:rsid w:val="00E4019B"/>
    <w:rsid w:val="00E40D52"/>
    <w:rsid w:val="00E422E7"/>
    <w:rsid w:val="00E42A26"/>
    <w:rsid w:val="00E43AC8"/>
    <w:rsid w:val="00E54023"/>
    <w:rsid w:val="00E575A5"/>
    <w:rsid w:val="00E60AE0"/>
    <w:rsid w:val="00E61DDE"/>
    <w:rsid w:val="00E63748"/>
    <w:rsid w:val="00E637B2"/>
    <w:rsid w:val="00E64136"/>
    <w:rsid w:val="00E65427"/>
    <w:rsid w:val="00E73EB9"/>
    <w:rsid w:val="00E75B0F"/>
    <w:rsid w:val="00E7719C"/>
    <w:rsid w:val="00E824D3"/>
    <w:rsid w:val="00E82522"/>
    <w:rsid w:val="00E91ED3"/>
    <w:rsid w:val="00E92382"/>
    <w:rsid w:val="00E93400"/>
    <w:rsid w:val="00E93D09"/>
    <w:rsid w:val="00EA1420"/>
    <w:rsid w:val="00EA42BF"/>
    <w:rsid w:val="00EA5761"/>
    <w:rsid w:val="00EA6946"/>
    <w:rsid w:val="00EB008D"/>
    <w:rsid w:val="00EB00DE"/>
    <w:rsid w:val="00EC0BEA"/>
    <w:rsid w:val="00EC133F"/>
    <w:rsid w:val="00EC38E8"/>
    <w:rsid w:val="00EC3EFC"/>
    <w:rsid w:val="00EC4D81"/>
    <w:rsid w:val="00EC5B75"/>
    <w:rsid w:val="00EC72E7"/>
    <w:rsid w:val="00EC7F15"/>
    <w:rsid w:val="00ED1DD4"/>
    <w:rsid w:val="00ED300A"/>
    <w:rsid w:val="00ED3E17"/>
    <w:rsid w:val="00ED4127"/>
    <w:rsid w:val="00ED5C1B"/>
    <w:rsid w:val="00EE0B76"/>
    <w:rsid w:val="00EE3206"/>
    <w:rsid w:val="00EE3A49"/>
    <w:rsid w:val="00EE43D6"/>
    <w:rsid w:val="00EE56D2"/>
    <w:rsid w:val="00EE637A"/>
    <w:rsid w:val="00EE76E9"/>
    <w:rsid w:val="00EE7D3C"/>
    <w:rsid w:val="00EF12F0"/>
    <w:rsid w:val="00EF1A66"/>
    <w:rsid w:val="00EF3332"/>
    <w:rsid w:val="00EF3779"/>
    <w:rsid w:val="00EF3A26"/>
    <w:rsid w:val="00EF69F7"/>
    <w:rsid w:val="00F001FC"/>
    <w:rsid w:val="00F005A9"/>
    <w:rsid w:val="00F0336F"/>
    <w:rsid w:val="00F04198"/>
    <w:rsid w:val="00F04D86"/>
    <w:rsid w:val="00F059A7"/>
    <w:rsid w:val="00F07FF8"/>
    <w:rsid w:val="00F10577"/>
    <w:rsid w:val="00F125D4"/>
    <w:rsid w:val="00F1394B"/>
    <w:rsid w:val="00F1490C"/>
    <w:rsid w:val="00F16B92"/>
    <w:rsid w:val="00F17308"/>
    <w:rsid w:val="00F17BE1"/>
    <w:rsid w:val="00F20C41"/>
    <w:rsid w:val="00F21548"/>
    <w:rsid w:val="00F2370B"/>
    <w:rsid w:val="00F256FD"/>
    <w:rsid w:val="00F25778"/>
    <w:rsid w:val="00F3096F"/>
    <w:rsid w:val="00F339FE"/>
    <w:rsid w:val="00F346D9"/>
    <w:rsid w:val="00F35EF4"/>
    <w:rsid w:val="00F43086"/>
    <w:rsid w:val="00F50D9D"/>
    <w:rsid w:val="00F51623"/>
    <w:rsid w:val="00F51C2B"/>
    <w:rsid w:val="00F520AE"/>
    <w:rsid w:val="00F60AF6"/>
    <w:rsid w:val="00F611F5"/>
    <w:rsid w:val="00F62190"/>
    <w:rsid w:val="00F7323D"/>
    <w:rsid w:val="00F75468"/>
    <w:rsid w:val="00F80590"/>
    <w:rsid w:val="00F816BB"/>
    <w:rsid w:val="00F82313"/>
    <w:rsid w:val="00F84496"/>
    <w:rsid w:val="00F86C68"/>
    <w:rsid w:val="00F86EB8"/>
    <w:rsid w:val="00F927EC"/>
    <w:rsid w:val="00F961C0"/>
    <w:rsid w:val="00FA0287"/>
    <w:rsid w:val="00FA0BBF"/>
    <w:rsid w:val="00FA647A"/>
    <w:rsid w:val="00FA7B11"/>
    <w:rsid w:val="00FA7E9B"/>
    <w:rsid w:val="00FB103F"/>
    <w:rsid w:val="00FB1E77"/>
    <w:rsid w:val="00FB5831"/>
    <w:rsid w:val="00FB5BD4"/>
    <w:rsid w:val="00FB6A64"/>
    <w:rsid w:val="00FB7696"/>
    <w:rsid w:val="00FC2683"/>
    <w:rsid w:val="00FC2742"/>
    <w:rsid w:val="00FC470E"/>
    <w:rsid w:val="00FC4887"/>
    <w:rsid w:val="00FC4F57"/>
    <w:rsid w:val="00FC595C"/>
    <w:rsid w:val="00FC67F0"/>
    <w:rsid w:val="00FC6D3D"/>
    <w:rsid w:val="00FD0431"/>
    <w:rsid w:val="00FD1072"/>
    <w:rsid w:val="00FD1301"/>
    <w:rsid w:val="00FD18E4"/>
    <w:rsid w:val="00FD4FB4"/>
    <w:rsid w:val="00FE02A2"/>
    <w:rsid w:val="00FE02D9"/>
    <w:rsid w:val="00FE3E83"/>
    <w:rsid w:val="00FE63BC"/>
    <w:rsid w:val="00FE743D"/>
    <w:rsid w:val="00FE7DF2"/>
    <w:rsid w:val="00FF10CB"/>
    <w:rsid w:val="00FF2BA9"/>
    <w:rsid w:val="00FF392A"/>
    <w:rsid w:val="00FF3D87"/>
    <w:rsid w:val="00FF62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5CE01"/>
  <w15:chartTrackingRefBased/>
  <w15:docId w15:val="{A691529F-B053-4611-AD85-9158D041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B3"/>
    <w:pPr>
      <w:spacing w:after="0" w:line="240" w:lineRule="auto"/>
    </w:pPr>
    <w:rPr>
      <w:rFonts w:ascii="Verdana" w:eastAsia="Times New Roman" w:hAnsi="Verdana"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0B3"/>
    <w:pPr>
      <w:tabs>
        <w:tab w:val="center" w:pos="4513"/>
        <w:tab w:val="right" w:pos="9026"/>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8310B3"/>
    <w:rPr>
      <w:rFonts w:ascii="Verdana" w:eastAsiaTheme="minorHAnsi" w:hAnsi="Verdana"/>
      <w:lang w:eastAsia="en-US"/>
    </w:rPr>
  </w:style>
  <w:style w:type="paragraph" w:styleId="Footer">
    <w:name w:val="footer"/>
    <w:basedOn w:val="Normal"/>
    <w:link w:val="FooterChar"/>
    <w:uiPriority w:val="99"/>
    <w:unhideWhenUsed/>
    <w:rsid w:val="008310B3"/>
    <w:pPr>
      <w:tabs>
        <w:tab w:val="center" w:pos="4513"/>
        <w:tab w:val="right" w:pos="9026"/>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8310B3"/>
    <w:rPr>
      <w:rFonts w:ascii="Verdana" w:eastAsiaTheme="minorHAnsi" w:hAnsi="Verdana"/>
      <w:lang w:eastAsia="en-US"/>
    </w:rPr>
  </w:style>
  <w:style w:type="character" w:styleId="Hyperlink">
    <w:name w:val="Hyperlink"/>
    <w:basedOn w:val="DefaultParagraphFont"/>
    <w:uiPriority w:val="99"/>
    <w:unhideWhenUsed/>
    <w:rsid w:val="008310B3"/>
    <w:rPr>
      <w:rFonts w:ascii="Verdana" w:hAnsi="Verdana" w:hint="default"/>
      <w:strike w:val="0"/>
      <w:dstrike w:val="0"/>
      <w:color w:val="33435D"/>
      <w:sz w:val="17"/>
      <w:szCs w:val="17"/>
      <w:u w:val="none"/>
      <w:effect w:val="none"/>
    </w:rPr>
  </w:style>
  <w:style w:type="paragraph" w:styleId="FootnoteText">
    <w:name w:val="footnote text"/>
    <w:basedOn w:val="Normal"/>
    <w:link w:val="FootnoteTextChar"/>
    <w:uiPriority w:val="99"/>
    <w:semiHidden/>
    <w:unhideWhenUsed/>
    <w:rsid w:val="008310B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310B3"/>
    <w:rPr>
      <w:rFonts w:eastAsiaTheme="minorHAnsi"/>
      <w:sz w:val="20"/>
      <w:szCs w:val="20"/>
      <w:lang w:eastAsia="en-US"/>
    </w:rPr>
  </w:style>
  <w:style w:type="character" w:styleId="FootnoteReference">
    <w:name w:val="footnote reference"/>
    <w:basedOn w:val="DefaultParagraphFont"/>
    <w:uiPriority w:val="99"/>
    <w:semiHidden/>
    <w:unhideWhenUsed/>
    <w:rsid w:val="008310B3"/>
    <w:rPr>
      <w:vertAlign w:val="superscript"/>
    </w:rPr>
  </w:style>
  <w:style w:type="paragraph" w:styleId="ListParagraph">
    <w:name w:val="List Paragraph"/>
    <w:basedOn w:val="Normal"/>
    <w:uiPriority w:val="34"/>
    <w:qFormat/>
    <w:rsid w:val="008310B3"/>
    <w:pPr>
      <w:ind w:left="720"/>
      <w:contextualSpacing/>
    </w:pPr>
  </w:style>
  <w:style w:type="character" w:styleId="FollowedHyperlink">
    <w:name w:val="FollowedHyperlink"/>
    <w:basedOn w:val="DefaultParagraphFont"/>
    <w:uiPriority w:val="99"/>
    <w:semiHidden/>
    <w:unhideWhenUsed/>
    <w:rsid w:val="007C3F8F"/>
    <w:rPr>
      <w:color w:val="954F72" w:themeColor="followedHyperlink"/>
      <w:u w:val="single"/>
    </w:rPr>
  </w:style>
  <w:style w:type="paragraph" w:styleId="Revision">
    <w:name w:val="Revision"/>
    <w:hidden/>
    <w:uiPriority w:val="99"/>
    <w:semiHidden/>
    <w:rsid w:val="009A4797"/>
    <w:pPr>
      <w:spacing w:after="0" w:line="240" w:lineRule="auto"/>
    </w:pPr>
    <w:rPr>
      <w:rFonts w:ascii="Verdana" w:eastAsia="Times New Roman" w:hAnsi="Verdana" w:cs="Arial"/>
      <w:sz w:val="24"/>
      <w:szCs w:val="24"/>
      <w:lang w:eastAsia="en-GB"/>
    </w:rPr>
  </w:style>
  <w:style w:type="character" w:styleId="CommentReference">
    <w:name w:val="annotation reference"/>
    <w:basedOn w:val="DefaultParagraphFont"/>
    <w:uiPriority w:val="99"/>
    <w:semiHidden/>
    <w:unhideWhenUsed/>
    <w:rsid w:val="009C0E51"/>
    <w:rPr>
      <w:sz w:val="16"/>
      <w:szCs w:val="16"/>
    </w:rPr>
  </w:style>
  <w:style w:type="paragraph" w:styleId="CommentText">
    <w:name w:val="annotation text"/>
    <w:basedOn w:val="Normal"/>
    <w:link w:val="CommentTextChar"/>
    <w:uiPriority w:val="99"/>
    <w:unhideWhenUsed/>
    <w:rsid w:val="009C0E51"/>
    <w:rPr>
      <w:sz w:val="20"/>
      <w:szCs w:val="20"/>
    </w:rPr>
  </w:style>
  <w:style w:type="character" w:customStyle="1" w:styleId="CommentTextChar">
    <w:name w:val="Comment Text Char"/>
    <w:basedOn w:val="DefaultParagraphFont"/>
    <w:link w:val="CommentText"/>
    <w:uiPriority w:val="99"/>
    <w:rsid w:val="009C0E51"/>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9C0E51"/>
    <w:rPr>
      <w:b/>
      <w:bCs/>
    </w:rPr>
  </w:style>
  <w:style w:type="character" w:customStyle="1" w:styleId="CommentSubjectChar">
    <w:name w:val="Comment Subject Char"/>
    <w:basedOn w:val="CommentTextChar"/>
    <w:link w:val="CommentSubject"/>
    <w:uiPriority w:val="99"/>
    <w:semiHidden/>
    <w:rsid w:val="009C0E51"/>
    <w:rPr>
      <w:rFonts w:ascii="Verdana" w:eastAsia="Times New Roman" w:hAnsi="Verdana"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about-the-ico/ico-and-stakeholder-consultations/ico-call-for-views-anonymisation-pseudonymisation-and-privacy-enhancing-technologies-guidance/" TargetMode="External"/><Relationship Id="rId7" Type="http://schemas.openxmlformats.org/officeDocument/2006/relationships/hyperlink" Target="https://ico.org.uk/for-organisations/guide-to-data-protection/guide-to-the-general-data-protection-regulation-gdpr/security/" TargetMode="External"/><Relationship Id="rId2" Type="http://schemas.openxmlformats.org/officeDocument/2006/relationships/hyperlink" Target="https://ico.org.uk/for-organisations/data-sharing-information-hub/" TargetMode="External"/><Relationship Id="rId1" Type="http://schemas.openxmlformats.org/officeDocument/2006/relationships/hyperlink" Target="https://ico.org.uk/for-organisations/guide-to-data-protection/guide-to-the-general-data-protection-regulation-gdpr/accountability-and-governance/data-protection-impact-assessments/" TargetMode="External"/><Relationship Id="rId6" Type="http://schemas.openxmlformats.org/officeDocument/2006/relationships/hyperlink" Target="https://ico.org.uk/for-organisations/guide-to-data-protection/guide-to-the-general-data-protection-regulation-gdpr/principles/accuracy/" TargetMode="External"/><Relationship Id="rId5" Type="http://schemas.openxmlformats.org/officeDocument/2006/relationships/hyperlink" Target="https://ico.org.uk/for-organisations/guide-to-data-protection/guide-to-the-general-data-protection-regulation-gdpr/principles/data-minimisation/" TargetMode="External"/><Relationship Id="rId4" Type="http://schemas.openxmlformats.org/officeDocument/2006/relationships/hyperlink" Target="https://ico.org.uk/for-organisations/guide-to-data-protection/guide-to-the-general-data-protection-regulation-gdpr/principles/purpose-limi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429D-0557-4D11-B009-4BF09A75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Debra Heaton</cp:lastModifiedBy>
  <cp:revision>40</cp:revision>
  <dcterms:created xsi:type="dcterms:W3CDTF">2022-09-13T10:39:00Z</dcterms:created>
  <dcterms:modified xsi:type="dcterms:W3CDTF">2022-09-13T16:38:00Z</dcterms:modified>
</cp:coreProperties>
</file>